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9F" w:rsidRPr="005F4083" w:rsidRDefault="0057369F" w:rsidP="00B6148F">
      <w:pPr>
        <w:jc w:val="both"/>
        <w:rPr>
          <w:b/>
          <w:sz w:val="20"/>
          <w:szCs w:val="20"/>
        </w:rPr>
      </w:pPr>
      <w:r w:rsidRPr="005F4083">
        <w:rPr>
          <w:b/>
          <w:sz w:val="20"/>
          <w:szCs w:val="20"/>
        </w:rPr>
        <w:t>IV (Appellant) v Criminal Injuries Compensation Authority (Respondent)</w:t>
      </w:r>
      <w:r w:rsidR="005F4083" w:rsidRPr="005F4083">
        <w:rPr>
          <w:b/>
          <w:sz w:val="20"/>
          <w:szCs w:val="20"/>
        </w:rPr>
        <w:tab/>
        <w:t xml:space="preserve">               </w:t>
      </w:r>
      <w:r w:rsidR="005F4083" w:rsidRPr="005F4083">
        <w:rPr>
          <w:b/>
          <w:sz w:val="20"/>
          <w:szCs w:val="20"/>
        </w:rPr>
        <w:tab/>
      </w:r>
      <w:r w:rsidR="005F4083">
        <w:rPr>
          <w:b/>
          <w:sz w:val="20"/>
          <w:szCs w:val="20"/>
        </w:rPr>
        <w:t xml:space="preserve">       </w:t>
      </w:r>
      <w:r w:rsidR="005F4083" w:rsidRPr="005F4083">
        <w:rPr>
          <w:b/>
          <w:sz w:val="20"/>
          <w:szCs w:val="20"/>
        </w:rPr>
        <w:t>3 November 2016</w:t>
      </w:r>
    </w:p>
    <w:p w:rsidR="00462D0B" w:rsidRPr="002824C8" w:rsidRDefault="00462D0B" w:rsidP="00B6148F">
      <w:pPr>
        <w:jc w:val="both"/>
        <w:rPr>
          <w:sz w:val="20"/>
          <w:szCs w:val="20"/>
        </w:rPr>
      </w:pPr>
      <w:r w:rsidRPr="002824C8">
        <w:rPr>
          <w:sz w:val="20"/>
          <w:szCs w:val="20"/>
        </w:rPr>
        <w:t>The applicant</w:t>
      </w:r>
      <w:r w:rsidR="0057369F" w:rsidRPr="002824C8">
        <w:rPr>
          <w:sz w:val="20"/>
          <w:szCs w:val="20"/>
        </w:rPr>
        <w:t>, IV,</w:t>
      </w:r>
      <w:r w:rsidRPr="002824C8">
        <w:rPr>
          <w:sz w:val="20"/>
          <w:szCs w:val="20"/>
        </w:rPr>
        <w:t xml:space="preserve"> made an application for compensation under the 2012 Criminal Injuries Compensation Scheme. </w:t>
      </w:r>
    </w:p>
    <w:p w:rsidR="00611738" w:rsidRPr="002824C8" w:rsidRDefault="00291A05" w:rsidP="00B6148F">
      <w:pPr>
        <w:jc w:val="both"/>
        <w:rPr>
          <w:sz w:val="20"/>
          <w:szCs w:val="20"/>
        </w:rPr>
      </w:pPr>
      <w:r w:rsidRPr="002824C8">
        <w:rPr>
          <w:sz w:val="20"/>
          <w:szCs w:val="20"/>
        </w:rPr>
        <w:t>Around 5am on Thursday 17 January 2013 the applicant was cycling to work along the towpath of the Regents Canal near Victoria Park in East London when he encountered a towrope which had been tied across his path.</w:t>
      </w:r>
    </w:p>
    <w:p w:rsidR="00291A05" w:rsidRPr="002824C8" w:rsidRDefault="00291A05" w:rsidP="00B6148F">
      <w:pPr>
        <w:jc w:val="both"/>
        <w:rPr>
          <w:sz w:val="20"/>
          <w:szCs w:val="20"/>
        </w:rPr>
      </w:pPr>
      <w:r w:rsidRPr="002824C8">
        <w:rPr>
          <w:sz w:val="20"/>
          <w:szCs w:val="20"/>
        </w:rPr>
        <w:t xml:space="preserve">The rope caught him across the upper torso and threw him to the ground. He sustained a skull fracture with bleeding on the brain.  He later collapsed at work and was taken to hospital where </w:t>
      </w:r>
      <w:r w:rsidR="0033415A" w:rsidRPr="002824C8">
        <w:rPr>
          <w:sz w:val="20"/>
          <w:szCs w:val="20"/>
        </w:rPr>
        <w:t xml:space="preserve">he </w:t>
      </w:r>
      <w:r w:rsidRPr="002824C8">
        <w:rPr>
          <w:sz w:val="20"/>
          <w:szCs w:val="20"/>
        </w:rPr>
        <w:t xml:space="preserve">underwent </w:t>
      </w:r>
      <w:r w:rsidR="0033415A" w:rsidRPr="002824C8">
        <w:rPr>
          <w:sz w:val="20"/>
          <w:szCs w:val="20"/>
        </w:rPr>
        <w:t>surgery</w:t>
      </w:r>
      <w:r w:rsidR="0057369F" w:rsidRPr="002824C8">
        <w:rPr>
          <w:sz w:val="20"/>
          <w:szCs w:val="20"/>
        </w:rPr>
        <w:t xml:space="preserve"> to remove blood clots and to combat rising intracranial pressure</w:t>
      </w:r>
      <w:r w:rsidR="0033415A" w:rsidRPr="002824C8">
        <w:rPr>
          <w:sz w:val="20"/>
          <w:szCs w:val="20"/>
        </w:rPr>
        <w:t xml:space="preserve">. He is left with post-traumatic deafness in one ear with related vestibular dysfunction and with cognitive deficits in terms of memory and concentration. He has been unable to </w:t>
      </w:r>
      <w:r w:rsidR="001F017E" w:rsidRPr="002824C8">
        <w:rPr>
          <w:sz w:val="20"/>
          <w:szCs w:val="20"/>
        </w:rPr>
        <w:t>resume</w:t>
      </w:r>
      <w:r w:rsidR="0033415A" w:rsidRPr="002824C8">
        <w:rPr>
          <w:sz w:val="20"/>
          <w:szCs w:val="20"/>
        </w:rPr>
        <w:t xml:space="preserve"> his occupation </w:t>
      </w:r>
      <w:r w:rsidR="001F017E" w:rsidRPr="002824C8">
        <w:rPr>
          <w:sz w:val="20"/>
          <w:szCs w:val="20"/>
        </w:rPr>
        <w:t>as a</w:t>
      </w:r>
      <w:r w:rsidR="0033415A" w:rsidRPr="002824C8">
        <w:rPr>
          <w:sz w:val="20"/>
          <w:szCs w:val="20"/>
        </w:rPr>
        <w:t xml:space="preserve"> furniture maker.</w:t>
      </w:r>
    </w:p>
    <w:p w:rsidR="0033415A" w:rsidRPr="002824C8" w:rsidRDefault="0092069F" w:rsidP="00B6148F">
      <w:pPr>
        <w:jc w:val="both"/>
        <w:rPr>
          <w:sz w:val="20"/>
          <w:szCs w:val="20"/>
        </w:rPr>
      </w:pPr>
      <w:r w:rsidRPr="002824C8">
        <w:rPr>
          <w:sz w:val="20"/>
          <w:szCs w:val="20"/>
        </w:rPr>
        <w:t>His wife reported the incident to the police two days afterwards. The investigating officer attended the scene but ‘found no evidence of any criminal activity, offence or negligence’</w:t>
      </w:r>
      <w:r w:rsidR="00462D0B" w:rsidRPr="002824C8">
        <w:rPr>
          <w:sz w:val="20"/>
          <w:szCs w:val="20"/>
        </w:rPr>
        <w:t>. He declined to support any application for compensation under the Scheme.</w:t>
      </w:r>
    </w:p>
    <w:p w:rsidR="00462D0B" w:rsidRPr="002824C8" w:rsidRDefault="00462D0B" w:rsidP="00B6148F">
      <w:pPr>
        <w:jc w:val="both"/>
        <w:rPr>
          <w:sz w:val="20"/>
          <w:szCs w:val="20"/>
        </w:rPr>
      </w:pPr>
      <w:r w:rsidRPr="002824C8">
        <w:rPr>
          <w:sz w:val="20"/>
          <w:szCs w:val="20"/>
        </w:rPr>
        <w:t>The application was rejected by the initial claims officer on the grounds that she was not satisfied that there was evidence of a reckless act and thus of a crime of violence under the Scheme. She repeated the conclusion of the investigating officer cited above.</w:t>
      </w:r>
    </w:p>
    <w:p w:rsidR="00462D0B" w:rsidRPr="002824C8" w:rsidRDefault="00462D0B" w:rsidP="00B6148F">
      <w:pPr>
        <w:jc w:val="both"/>
        <w:rPr>
          <w:sz w:val="20"/>
          <w:szCs w:val="20"/>
        </w:rPr>
      </w:pPr>
      <w:r w:rsidRPr="002824C8">
        <w:rPr>
          <w:sz w:val="20"/>
          <w:szCs w:val="20"/>
        </w:rPr>
        <w:t xml:space="preserve">The applicant applied for a review of the initial decision. He submitted that the act of tying a rope across the towpath was a deliberate act of vandalism intended to cause harm to towpath users. </w:t>
      </w:r>
    </w:p>
    <w:p w:rsidR="00462D0B" w:rsidRPr="002824C8" w:rsidRDefault="00462D0B" w:rsidP="00B6148F">
      <w:pPr>
        <w:jc w:val="both"/>
        <w:rPr>
          <w:sz w:val="20"/>
          <w:szCs w:val="20"/>
        </w:rPr>
      </w:pPr>
      <w:r w:rsidRPr="002824C8">
        <w:rPr>
          <w:sz w:val="20"/>
          <w:szCs w:val="20"/>
        </w:rPr>
        <w:t>The authority was provided with a witness statement f</w:t>
      </w:r>
      <w:r w:rsidR="001F017E" w:rsidRPr="002824C8">
        <w:rPr>
          <w:sz w:val="20"/>
          <w:szCs w:val="20"/>
        </w:rPr>
        <w:t xml:space="preserve">rom the owner of the canal boat. She described how she had been woken by a noise and had seen the applicant sitting down on the towpath. She noticed that the midline towrope had been removed from the roof of her boat and its far end had been </w:t>
      </w:r>
      <w:r w:rsidRPr="002824C8">
        <w:rPr>
          <w:sz w:val="20"/>
          <w:szCs w:val="20"/>
        </w:rPr>
        <w:t xml:space="preserve">tied </w:t>
      </w:r>
      <w:r w:rsidR="001F017E" w:rsidRPr="002824C8">
        <w:rPr>
          <w:sz w:val="20"/>
          <w:szCs w:val="20"/>
        </w:rPr>
        <w:t xml:space="preserve">on </w:t>
      </w:r>
      <w:r w:rsidRPr="002824C8">
        <w:rPr>
          <w:sz w:val="20"/>
          <w:szCs w:val="20"/>
        </w:rPr>
        <w:t xml:space="preserve">to railings at the boundary of </w:t>
      </w:r>
      <w:r w:rsidR="001F017E" w:rsidRPr="002824C8">
        <w:rPr>
          <w:sz w:val="20"/>
          <w:szCs w:val="20"/>
        </w:rPr>
        <w:t>the towpath and Victoria Park. She gave evidence of numerous incidents of vandalism, theft and muggings along the canal, including one in which towropes had been interfered with.</w:t>
      </w:r>
    </w:p>
    <w:p w:rsidR="001F017E" w:rsidRPr="002824C8" w:rsidRDefault="001F017E" w:rsidP="00B6148F">
      <w:pPr>
        <w:jc w:val="both"/>
        <w:rPr>
          <w:sz w:val="20"/>
          <w:szCs w:val="20"/>
        </w:rPr>
      </w:pPr>
      <w:r w:rsidRPr="002824C8">
        <w:rPr>
          <w:sz w:val="20"/>
          <w:szCs w:val="20"/>
        </w:rPr>
        <w:t>The reviewing officer confirmed the decision of the initial claims officer rejecting the application. It was said that as this was not a direct physical assault</w:t>
      </w:r>
      <w:r w:rsidR="00B6148F" w:rsidRPr="002824C8">
        <w:rPr>
          <w:sz w:val="20"/>
          <w:szCs w:val="20"/>
        </w:rPr>
        <w:t xml:space="preserve"> the basis of any eligibility would be that the applicant was the victim of an act of recklessness. The conclusion of the investigating police officer was that this was a cycling accident and not a crime of violence. The evidence of criminal or anti-social activity in the area was noted. However there was no evidence, determined on the balance of probabilities, of any act of a violent nature resulting in the applicant’s injury.</w:t>
      </w:r>
    </w:p>
    <w:p w:rsidR="00FF05F5" w:rsidRPr="002824C8" w:rsidRDefault="00FF05F5" w:rsidP="00B6148F">
      <w:pPr>
        <w:jc w:val="both"/>
        <w:rPr>
          <w:sz w:val="20"/>
          <w:szCs w:val="20"/>
        </w:rPr>
      </w:pPr>
      <w:r w:rsidRPr="002824C8">
        <w:rPr>
          <w:sz w:val="20"/>
          <w:szCs w:val="20"/>
        </w:rPr>
        <w:t>The applicant appealed to the First-Tier Tri</w:t>
      </w:r>
      <w:r w:rsidR="00980814" w:rsidRPr="002824C8">
        <w:rPr>
          <w:sz w:val="20"/>
          <w:szCs w:val="20"/>
        </w:rPr>
        <w:t>bun</w:t>
      </w:r>
      <w:r w:rsidRPr="002824C8">
        <w:rPr>
          <w:sz w:val="20"/>
          <w:szCs w:val="20"/>
        </w:rPr>
        <w:t>al (Criminal Injuries Compensation). Allowing the appeal the Tribuna</w:t>
      </w:r>
      <w:r w:rsidR="00980814" w:rsidRPr="002824C8">
        <w:rPr>
          <w:sz w:val="20"/>
          <w:szCs w:val="20"/>
        </w:rPr>
        <w:t xml:space="preserve">l (Chair: David </w:t>
      </w:r>
      <w:proofErr w:type="spellStart"/>
      <w:r w:rsidR="00980814" w:rsidRPr="002824C8">
        <w:rPr>
          <w:sz w:val="20"/>
          <w:szCs w:val="20"/>
        </w:rPr>
        <w:t>Turrell</w:t>
      </w:r>
      <w:proofErr w:type="spellEnd"/>
      <w:r w:rsidR="00980814" w:rsidRPr="002824C8">
        <w:rPr>
          <w:sz w:val="20"/>
          <w:szCs w:val="20"/>
        </w:rPr>
        <w:t xml:space="preserve">) determined that the evidence including that of the boat owner was sufficient to satisfy the Tribunal that a trap had been set across the towpath with the hostile intent of causing harm and the </w:t>
      </w:r>
      <w:r w:rsidR="00980814" w:rsidRPr="002824C8">
        <w:rPr>
          <w:sz w:val="20"/>
          <w:szCs w:val="20"/>
        </w:rPr>
        <w:lastRenderedPageBreak/>
        <w:t xml:space="preserve">applicant was the victim of that trap. The Tribunal was assisted by case law referred to by Counsel for the applicant (including </w:t>
      </w:r>
      <w:r w:rsidR="00980814" w:rsidRPr="002824C8">
        <w:rPr>
          <w:i/>
          <w:sz w:val="20"/>
          <w:szCs w:val="20"/>
        </w:rPr>
        <w:t xml:space="preserve">Jones v First-Tier Tribunal &amp; CICA </w:t>
      </w:r>
      <w:r w:rsidR="00980814" w:rsidRPr="002824C8">
        <w:rPr>
          <w:rFonts w:cs="Arial"/>
          <w:i/>
          <w:color w:val="222222"/>
          <w:sz w:val="20"/>
          <w:szCs w:val="20"/>
        </w:rPr>
        <w:t>[2013] 2 AC 48, R v Martin [1881] 8 QBD 54. and DPP v K [1990] 1 All ER 331</w:t>
      </w:r>
      <w:r w:rsidR="00980814" w:rsidRPr="002824C8">
        <w:rPr>
          <w:rFonts w:cs="Arial"/>
          <w:color w:val="222222"/>
          <w:sz w:val="20"/>
          <w:szCs w:val="20"/>
        </w:rPr>
        <w:t xml:space="preserve">) and </w:t>
      </w:r>
      <w:r w:rsidR="00980814" w:rsidRPr="002824C8">
        <w:rPr>
          <w:sz w:val="20"/>
          <w:szCs w:val="20"/>
        </w:rPr>
        <w:t xml:space="preserve">came to the summary conclusion that the applicant was the victim of </w:t>
      </w:r>
      <w:bookmarkStart w:id="0" w:name="_GoBack"/>
      <w:r w:rsidR="00980814" w:rsidRPr="002824C8">
        <w:rPr>
          <w:sz w:val="20"/>
          <w:szCs w:val="20"/>
        </w:rPr>
        <w:t xml:space="preserve">a crime of violence </w:t>
      </w:r>
      <w:bookmarkEnd w:id="0"/>
      <w:r w:rsidR="00980814" w:rsidRPr="002824C8">
        <w:rPr>
          <w:sz w:val="20"/>
          <w:szCs w:val="20"/>
        </w:rPr>
        <w:t>as defined by Annexe B of the 2012 Scheme.</w:t>
      </w:r>
      <w:r w:rsidRPr="002824C8">
        <w:rPr>
          <w:sz w:val="20"/>
          <w:szCs w:val="20"/>
        </w:rPr>
        <w:t xml:space="preserve"> </w:t>
      </w:r>
    </w:p>
    <w:p w:rsidR="0057369F" w:rsidRPr="002824C8" w:rsidRDefault="0057369F" w:rsidP="00B6148F">
      <w:pPr>
        <w:jc w:val="both"/>
        <w:rPr>
          <w:sz w:val="20"/>
          <w:szCs w:val="20"/>
        </w:rPr>
      </w:pPr>
      <w:r w:rsidRPr="002824C8">
        <w:rPr>
          <w:sz w:val="20"/>
          <w:szCs w:val="20"/>
        </w:rPr>
        <w:t xml:space="preserve">Lord Hope’s remark in </w:t>
      </w:r>
      <w:r w:rsidRPr="002824C8">
        <w:rPr>
          <w:i/>
          <w:sz w:val="20"/>
          <w:szCs w:val="20"/>
        </w:rPr>
        <w:t>Jones</w:t>
      </w:r>
      <w:r w:rsidRPr="002824C8">
        <w:rPr>
          <w:sz w:val="20"/>
          <w:szCs w:val="20"/>
        </w:rPr>
        <w:t xml:space="preserve"> was cited to the Tribunal: </w:t>
      </w:r>
      <w:r w:rsidRPr="002824C8">
        <w:rPr>
          <w:i/>
          <w:sz w:val="20"/>
          <w:szCs w:val="20"/>
        </w:rPr>
        <w:t>‘the question whether a criminal offence has been committed is a question for the tribunal having informed itself as to what the law requires for proof of that offence to determine as a matter of fact’.</w:t>
      </w:r>
      <w:r w:rsidRPr="002824C8">
        <w:rPr>
          <w:sz w:val="20"/>
          <w:szCs w:val="20"/>
        </w:rPr>
        <w:t xml:space="preserve"> </w:t>
      </w:r>
    </w:p>
    <w:p w:rsidR="002824C8" w:rsidRPr="002824C8" w:rsidRDefault="002824C8" w:rsidP="00B6148F">
      <w:pPr>
        <w:jc w:val="both"/>
        <w:rPr>
          <w:sz w:val="20"/>
          <w:szCs w:val="20"/>
        </w:rPr>
      </w:pPr>
      <w:r w:rsidRPr="002824C8">
        <w:rPr>
          <w:sz w:val="20"/>
          <w:szCs w:val="20"/>
        </w:rPr>
        <w:t xml:space="preserve">It is anticipated that an award at </w:t>
      </w:r>
      <w:r w:rsidR="005F4083">
        <w:rPr>
          <w:sz w:val="20"/>
          <w:szCs w:val="20"/>
        </w:rPr>
        <w:t xml:space="preserve">or close to </w:t>
      </w:r>
      <w:r w:rsidRPr="002824C8">
        <w:rPr>
          <w:sz w:val="20"/>
          <w:szCs w:val="20"/>
        </w:rPr>
        <w:t>the maximum permitted award of £500,000 will be made in due course</w:t>
      </w:r>
    </w:p>
    <w:p w:rsidR="00B6148F" w:rsidRDefault="005F4083">
      <w:pPr>
        <w:rPr>
          <w:sz w:val="20"/>
          <w:szCs w:val="20"/>
        </w:rPr>
      </w:pPr>
      <w:r>
        <w:rPr>
          <w:sz w:val="20"/>
          <w:szCs w:val="20"/>
        </w:rPr>
        <w:t>For the Appellant: Richard Cartwright instructed by Sarah Brumpton of Irwin Mitchell LLP</w:t>
      </w:r>
    </w:p>
    <w:p w:rsidR="005F4083" w:rsidRDefault="005F4083">
      <w:pPr>
        <w:rPr>
          <w:sz w:val="20"/>
          <w:szCs w:val="20"/>
        </w:rPr>
      </w:pPr>
      <w:r>
        <w:rPr>
          <w:sz w:val="20"/>
          <w:szCs w:val="20"/>
        </w:rPr>
        <w:t>For the Respondent: In-house counsel</w:t>
      </w:r>
    </w:p>
    <w:p w:rsidR="005F4083" w:rsidRPr="002824C8" w:rsidRDefault="005F4083">
      <w:pPr>
        <w:rPr>
          <w:sz w:val="20"/>
          <w:szCs w:val="20"/>
        </w:rPr>
      </w:pPr>
    </w:p>
    <w:sectPr w:rsidR="005F4083" w:rsidRPr="002824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05"/>
    <w:rsid w:val="001F017E"/>
    <w:rsid w:val="002824C8"/>
    <w:rsid w:val="00291A05"/>
    <w:rsid w:val="002C7551"/>
    <w:rsid w:val="0033415A"/>
    <w:rsid w:val="00401683"/>
    <w:rsid w:val="00462D0B"/>
    <w:rsid w:val="0057369F"/>
    <w:rsid w:val="005F4083"/>
    <w:rsid w:val="0092069F"/>
    <w:rsid w:val="00980814"/>
    <w:rsid w:val="00B6148F"/>
    <w:rsid w:val="00D60B51"/>
    <w:rsid w:val="00FF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9A71F-D5ED-4D5C-85AF-E5EB5573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Cartwright</dc:creator>
  <cp:keywords/>
  <dc:description/>
  <cp:lastModifiedBy>Lorna Claridge</cp:lastModifiedBy>
  <cp:revision>2</cp:revision>
  <dcterms:created xsi:type="dcterms:W3CDTF">2016-11-11T10:51:00Z</dcterms:created>
  <dcterms:modified xsi:type="dcterms:W3CDTF">2016-11-11T10:51:00Z</dcterms:modified>
</cp:coreProperties>
</file>