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3809" w14:textId="157346A1" w:rsidR="00BD595E" w:rsidRPr="00BD595E" w:rsidRDefault="001041F2" w:rsidP="00BD595E">
      <w:pPr>
        <w:spacing w:before="100" w:beforeAutospacing="1" w:after="100" w:afterAutospacing="1" w:line="360" w:lineRule="auto"/>
        <w:jc w:val="both"/>
        <w:rPr>
          <w:rFonts w:ascii="Times New Roman" w:eastAsia="Times New Roman" w:hAnsi="Times New Roman" w:cs="Times New Roman"/>
          <w:b/>
          <w:bCs/>
        </w:rPr>
      </w:pPr>
      <w:r w:rsidRPr="001041F2">
        <w:rPr>
          <w:rFonts w:ascii="Times New Roman" w:eastAsia="Times New Roman" w:hAnsi="Times New Roman" w:cs="Times New Roman"/>
          <w:b/>
          <w:bCs/>
        </w:rPr>
        <w:t>Sizing up the competit</w:t>
      </w:r>
      <w:r>
        <w:rPr>
          <w:rFonts w:ascii="Times New Roman" w:eastAsia="Times New Roman" w:hAnsi="Times New Roman" w:cs="Times New Roman"/>
          <w:b/>
          <w:bCs/>
        </w:rPr>
        <w:t>i</w:t>
      </w:r>
      <w:r w:rsidRPr="001041F2">
        <w:rPr>
          <w:rFonts w:ascii="Times New Roman" w:eastAsia="Times New Roman" w:hAnsi="Times New Roman" w:cs="Times New Roman"/>
          <w:b/>
          <w:bCs/>
        </w:rPr>
        <w:t xml:space="preserve">on - </w:t>
      </w:r>
      <w:r w:rsidR="00BD595E" w:rsidRPr="001041F2">
        <w:rPr>
          <w:rFonts w:ascii="Times New Roman" w:eastAsia="Times New Roman" w:hAnsi="Times New Roman" w:cs="Times New Roman"/>
          <w:b/>
          <w:bCs/>
        </w:rPr>
        <w:t>The Upper Tribunal</w:t>
      </w:r>
      <w:r w:rsidR="00491D6C" w:rsidRPr="001041F2">
        <w:rPr>
          <w:rFonts w:ascii="Times New Roman" w:eastAsia="Times New Roman" w:hAnsi="Times New Roman" w:cs="Times New Roman"/>
          <w:b/>
          <w:bCs/>
        </w:rPr>
        <w:t xml:space="preserve"> considers the public authority VAT exemption in </w:t>
      </w:r>
      <w:r w:rsidR="00BD595E" w:rsidRPr="00BD595E">
        <w:rPr>
          <w:rFonts w:ascii="Times New Roman" w:eastAsia="Times New Roman" w:hAnsi="Times New Roman" w:cs="Times New Roman"/>
          <w:b/>
          <w:bCs/>
          <w:i/>
          <w:iCs/>
        </w:rPr>
        <w:t>Northumbria Healthcare NHS Foundation Trust v Revenue and Customs</w:t>
      </w:r>
      <w:r w:rsidR="00BD595E" w:rsidRPr="00BD595E">
        <w:rPr>
          <w:rFonts w:ascii="Times New Roman" w:eastAsia="Times New Roman" w:hAnsi="Times New Roman" w:cs="Times New Roman"/>
          <w:b/>
          <w:bCs/>
        </w:rPr>
        <w:t xml:space="preserve"> [2022] UKUT 267 (TCC) </w:t>
      </w:r>
    </w:p>
    <w:p w14:paraId="33400901" w14:textId="06952CDB" w:rsidR="00C14CE0" w:rsidRPr="00491D6C" w:rsidRDefault="00BD595E" w:rsidP="00491D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Upper Tribunal has ruled that </w:t>
      </w:r>
      <w:r>
        <w:rPr>
          <w:rFonts w:ascii="Times New Roman" w:hAnsi="Times New Roman" w:cs="Times New Roman"/>
        </w:rPr>
        <w:t xml:space="preserve">an NHS Trust did not provide car parking under a </w:t>
      </w:r>
      <w:r w:rsidR="001041F2">
        <w:rPr>
          <w:rFonts w:ascii="Times New Roman" w:hAnsi="Times New Roman" w:cs="Times New Roman"/>
        </w:rPr>
        <w:t>“</w:t>
      </w:r>
      <w:r>
        <w:rPr>
          <w:rFonts w:ascii="Times New Roman" w:hAnsi="Times New Roman" w:cs="Times New Roman"/>
        </w:rPr>
        <w:t>special legal regime</w:t>
      </w:r>
      <w:r w:rsidR="001041F2">
        <w:rPr>
          <w:rFonts w:ascii="Times New Roman" w:hAnsi="Times New Roman" w:cs="Times New Roman"/>
        </w:rPr>
        <w:t>”</w:t>
      </w:r>
      <w:r>
        <w:rPr>
          <w:rFonts w:ascii="Times New Roman" w:hAnsi="Times New Roman" w:cs="Times New Roman"/>
        </w:rPr>
        <w:t xml:space="preserve"> such that its supplies would be zero-rated</w:t>
      </w:r>
      <w:r w:rsidRPr="00BD595E">
        <w:rPr>
          <w:rFonts w:ascii="Times New Roman" w:hAnsi="Times New Roman" w:cs="Times New Roman"/>
        </w:rPr>
        <w:t xml:space="preserve">. The case is important because (i) it </w:t>
      </w:r>
      <w:r>
        <w:rPr>
          <w:rFonts w:ascii="Times New Roman" w:hAnsi="Times New Roman" w:cs="Times New Roman"/>
        </w:rPr>
        <w:t xml:space="preserve">sets a limit on what can be considered a “special legal regime” for the purposes of Article 13 of the Principal VAT Directive and section 41A of the Value Added Tax Act 1994, and (ii) it confirms that detailed factual and expert evidence is not required for a Tribunal to find that treating a public authority as a non-taxable person would lead to significant distortions of competition. </w:t>
      </w:r>
    </w:p>
    <w:p w14:paraId="4E8915BF" w14:textId="77777777" w:rsidR="00491D6C" w:rsidRPr="00491D6C" w:rsidRDefault="00491D6C" w:rsidP="00491D6C">
      <w:pPr>
        <w:pStyle w:val="ListParagraph"/>
        <w:spacing w:after="160" w:line="360" w:lineRule="auto"/>
        <w:jc w:val="both"/>
        <w:rPr>
          <w:rFonts w:ascii="Times New Roman" w:hAnsi="Times New Roman" w:cs="Times New Roman"/>
        </w:rPr>
      </w:pPr>
    </w:p>
    <w:p w14:paraId="613EDB63" w14:textId="7D20A8FD" w:rsidR="00C14CE0" w:rsidRDefault="00BD595E" w:rsidP="00C14CE0">
      <w:pPr>
        <w:pStyle w:val="ListParagraph"/>
        <w:numPr>
          <w:ilvl w:val="0"/>
          <w:numId w:val="1"/>
        </w:numPr>
        <w:spacing w:after="160" w:line="360" w:lineRule="auto"/>
        <w:jc w:val="both"/>
        <w:rPr>
          <w:rFonts w:ascii="Times New Roman" w:hAnsi="Times New Roman" w:cs="Times New Roman"/>
        </w:rPr>
      </w:pPr>
      <w:r w:rsidRPr="00C14CE0">
        <w:rPr>
          <w:rFonts w:ascii="Times New Roman" w:hAnsi="Times New Roman" w:cs="Times New Roman"/>
          <w:b/>
          <w:bCs/>
        </w:rPr>
        <w:t>Issue</w:t>
      </w:r>
      <w:r w:rsidR="006C21C6" w:rsidRPr="00C14CE0">
        <w:rPr>
          <w:rFonts w:ascii="Times New Roman" w:hAnsi="Times New Roman" w:cs="Times New Roman"/>
          <w:b/>
          <w:bCs/>
        </w:rPr>
        <w:t xml:space="preserve"> 1</w:t>
      </w:r>
      <w:r w:rsidRPr="00C14CE0">
        <w:rPr>
          <w:rFonts w:ascii="Times New Roman" w:hAnsi="Times New Roman" w:cs="Times New Roman"/>
          <w:b/>
          <w:bCs/>
        </w:rPr>
        <w:t xml:space="preserve"> – </w:t>
      </w:r>
      <w:r w:rsidR="006C21C6" w:rsidRPr="00C14CE0">
        <w:rPr>
          <w:rFonts w:ascii="Times New Roman" w:hAnsi="Times New Roman" w:cs="Times New Roman"/>
          <w:b/>
          <w:bCs/>
        </w:rPr>
        <w:t>“special legal regime”.</w:t>
      </w:r>
      <w:r w:rsidR="006C21C6" w:rsidRPr="006C21C6">
        <w:rPr>
          <w:rFonts w:ascii="Times New Roman" w:hAnsi="Times New Roman" w:cs="Times New Roman"/>
        </w:rPr>
        <w:t xml:space="preserve"> The Trust argued before the Upper Tribunal that guidance documents from the NHS and Department of Health created a “special legal regime”. The Upper Tribunal analysed the case law and rejected the Trust’s arguments that (i) the relevant test was whether the public authority was governed only by the ordinary rules of private law in respect of the activity, and (ii) </w:t>
      </w:r>
      <w:r w:rsidR="006C21C6" w:rsidRPr="00C14CE0">
        <w:rPr>
          <w:rFonts w:ascii="Times New Roman" w:hAnsi="Times New Roman" w:cs="Times New Roman"/>
        </w:rPr>
        <w:t xml:space="preserve">where a public authority is bound by its own guidance or bound to </w:t>
      </w:r>
      <w:proofErr w:type="gramStart"/>
      <w:r w:rsidR="006C21C6" w:rsidRPr="00C14CE0">
        <w:rPr>
          <w:rFonts w:ascii="Times New Roman" w:hAnsi="Times New Roman" w:cs="Times New Roman"/>
        </w:rPr>
        <w:t>take into account</w:t>
      </w:r>
      <w:proofErr w:type="gramEnd"/>
      <w:r w:rsidR="006C21C6" w:rsidRPr="00C14CE0">
        <w:rPr>
          <w:rFonts w:ascii="Times New Roman" w:hAnsi="Times New Roman" w:cs="Times New Roman"/>
        </w:rPr>
        <w:t xml:space="preserve"> external guidance that does not apply to private traders </w:t>
      </w:r>
      <w:r w:rsidR="006C21C6" w:rsidRPr="00C14CE0">
        <w:rPr>
          <w:rFonts w:ascii="Times New Roman" w:hAnsi="Times New Roman" w:cs="Times New Roman"/>
        </w:rPr>
        <w:t xml:space="preserve">that creates a </w:t>
      </w:r>
      <w:r w:rsidR="006C21C6" w:rsidRPr="006C21C6">
        <w:rPr>
          <w:rFonts w:ascii="Times New Roman" w:hAnsi="Times New Roman" w:cs="Times New Roman"/>
        </w:rPr>
        <w:t>“special legal regime”.</w:t>
      </w:r>
      <w:r w:rsidR="00C14CE0">
        <w:rPr>
          <w:rFonts w:ascii="Times New Roman" w:hAnsi="Times New Roman" w:cs="Times New Roman"/>
        </w:rPr>
        <w:t xml:space="preserve"> The Upper Tribunal ruled that </w:t>
      </w:r>
      <w:r w:rsidR="00C14CE0" w:rsidRPr="00C14CE0">
        <w:rPr>
          <w:rFonts w:ascii="Times New Roman" w:hAnsi="Times New Roman" w:cs="Times New Roman"/>
        </w:rPr>
        <w:t xml:space="preserve">it is not sufficient that the public authority is subject to a generic public law obligation to follow guidance. Rather, it is necessary to identify with precision the specific provisions of national law that give rise to the </w:t>
      </w:r>
      <w:r w:rsidR="00C14CE0">
        <w:rPr>
          <w:rFonts w:ascii="Times New Roman" w:hAnsi="Times New Roman" w:cs="Times New Roman"/>
        </w:rPr>
        <w:t>“</w:t>
      </w:r>
      <w:r w:rsidR="00C14CE0" w:rsidRPr="00C14CE0">
        <w:rPr>
          <w:rFonts w:ascii="Times New Roman" w:hAnsi="Times New Roman" w:cs="Times New Roman"/>
        </w:rPr>
        <w:t>special legal regime</w:t>
      </w:r>
      <w:r w:rsidR="00C14CE0">
        <w:rPr>
          <w:rFonts w:ascii="Times New Roman" w:hAnsi="Times New Roman" w:cs="Times New Roman"/>
        </w:rPr>
        <w:t xml:space="preserve">”, and if the Trust was </w:t>
      </w:r>
      <w:r w:rsidR="00C14CE0" w:rsidRPr="00C14CE0">
        <w:rPr>
          <w:rFonts w:ascii="Times New Roman" w:hAnsi="Times New Roman" w:cs="Times New Roman"/>
        </w:rPr>
        <w:t>correct then all or almost all the activities of a public authority would be carried on pursuant to a special legal regime, and the requirement in Article 13(1) for the public authority to be acting as a public authority would be deprived of any meaningful effect</w:t>
      </w:r>
      <w:r w:rsidR="00C14CE0">
        <w:rPr>
          <w:rFonts w:ascii="Times New Roman" w:hAnsi="Times New Roman" w:cs="Times New Roman"/>
        </w:rPr>
        <w:t>.</w:t>
      </w:r>
      <w:r w:rsidR="00C14CE0" w:rsidRPr="00C14CE0">
        <w:rPr>
          <w:rFonts w:ascii="Times New Roman" w:hAnsi="Times New Roman" w:cs="Times New Roman"/>
        </w:rPr>
        <w:t xml:space="preserve"> </w:t>
      </w:r>
      <w:r w:rsidR="00491D6C">
        <w:rPr>
          <w:rFonts w:ascii="Times New Roman" w:hAnsi="Times New Roman" w:cs="Times New Roman"/>
        </w:rPr>
        <w:t>This sets a</w:t>
      </w:r>
      <w:r w:rsidR="001041F2">
        <w:rPr>
          <w:rFonts w:ascii="Times New Roman" w:hAnsi="Times New Roman" w:cs="Times New Roman"/>
        </w:rPr>
        <w:t>n important</w:t>
      </w:r>
      <w:r w:rsidR="00491D6C">
        <w:rPr>
          <w:rFonts w:ascii="Times New Roman" w:hAnsi="Times New Roman" w:cs="Times New Roman"/>
        </w:rPr>
        <w:t xml:space="preserve"> limit on what can amount to a “special legal regime.”</w:t>
      </w:r>
    </w:p>
    <w:p w14:paraId="2AA0B059" w14:textId="77777777" w:rsidR="00491D6C" w:rsidRPr="00C14CE0" w:rsidRDefault="00491D6C" w:rsidP="00491D6C">
      <w:pPr>
        <w:pStyle w:val="ListParagraph"/>
        <w:spacing w:after="160" w:line="360" w:lineRule="auto"/>
        <w:jc w:val="both"/>
        <w:rPr>
          <w:rFonts w:ascii="Times New Roman" w:hAnsi="Times New Roman" w:cs="Times New Roman"/>
        </w:rPr>
      </w:pPr>
    </w:p>
    <w:p w14:paraId="7AF8BE5C" w14:textId="2393D3BA" w:rsidR="00491D6C" w:rsidRDefault="00C14CE0" w:rsidP="00491D6C">
      <w:pPr>
        <w:pStyle w:val="ListParagraph"/>
        <w:numPr>
          <w:ilvl w:val="0"/>
          <w:numId w:val="1"/>
        </w:numPr>
        <w:spacing w:after="160" w:line="360" w:lineRule="auto"/>
        <w:jc w:val="both"/>
        <w:rPr>
          <w:rFonts w:ascii="Times New Roman" w:hAnsi="Times New Roman" w:cs="Times New Roman"/>
        </w:rPr>
      </w:pPr>
      <w:r w:rsidRPr="00491D6C">
        <w:rPr>
          <w:rFonts w:ascii="Times New Roman" w:hAnsi="Times New Roman" w:cs="Times New Roman"/>
          <w:b/>
          <w:bCs/>
        </w:rPr>
        <w:t xml:space="preserve">Issue </w:t>
      </w:r>
      <w:r w:rsidRPr="00491D6C">
        <w:rPr>
          <w:rFonts w:ascii="Times New Roman" w:hAnsi="Times New Roman" w:cs="Times New Roman"/>
          <w:b/>
          <w:bCs/>
        </w:rPr>
        <w:t>2</w:t>
      </w:r>
      <w:r w:rsidRPr="00491D6C">
        <w:rPr>
          <w:rFonts w:ascii="Times New Roman" w:hAnsi="Times New Roman" w:cs="Times New Roman"/>
          <w:b/>
          <w:bCs/>
        </w:rPr>
        <w:t xml:space="preserve"> – “</w:t>
      </w:r>
      <w:r w:rsidRPr="00491D6C">
        <w:rPr>
          <w:rFonts w:ascii="Times New Roman" w:hAnsi="Times New Roman" w:cs="Times New Roman"/>
          <w:b/>
          <w:bCs/>
        </w:rPr>
        <w:t>significant distortion of competition”.</w:t>
      </w:r>
      <w:r w:rsidRPr="00491D6C">
        <w:rPr>
          <w:rFonts w:ascii="Times New Roman" w:hAnsi="Times New Roman" w:cs="Times New Roman"/>
        </w:rPr>
        <w:t xml:space="preserve"> The Upper Tribunal confirmed that </w:t>
      </w:r>
      <w:r w:rsidR="00491D6C">
        <w:rPr>
          <w:rFonts w:ascii="Times New Roman" w:hAnsi="Times New Roman" w:cs="Times New Roman"/>
        </w:rPr>
        <w:t xml:space="preserve">(i) </w:t>
      </w:r>
      <w:r w:rsidRPr="00491D6C">
        <w:rPr>
          <w:rFonts w:ascii="Times New Roman" w:hAnsi="Times New Roman" w:cs="Times New Roman"/>
        </w:rPr>
        <w:t xml:space="preserve">the relevant question is whether </w:t>
      </w:r>
      <w:r w:rsidR="00491D6C" w:rsidRPr="00491D6C">
        <w:rPr>
          <w:rFonts w:ascii="Times New Roman" w:hAnsi="Times New Roman" w:cs="Times New Roman"/>
        </w:rPr>
        <w:t xml:space="preserve">the </w:t>
      </w:r>
      <w:r w:rsidR="00491D6C" w:rsidRPr="00491D6C">
        <w:rPr>
          <w:rFonts w:ascii="Times New Roman" w:hAnsi="Times New Roman" w:cs="Times New Roman"/>
        </w:rPr>
        <w:t xml:space="preserve">different treatment of the activity for VAT purposes would lead to a significant distortion of competition, including a distortion of potential competition provided that there is a real and not hypothetical possibility of market entry by </w:t>
      </w:r>
      <w:r w:rsidR="00491D6C" w:rsidRPr="00491D6C">
        <w:rPr>
          <w:rFonts w:ascii="Times New Roman" w:hAnsi="Times New Roman" w:cs="Times New Roman"/>
        </w:rPr>
        <w:lastRenderedPageBreak/>
        <w:t>a private operator</w:t>
      </w:r>
      <w:r w:rsidR="00491D6C">
        <w:rPr>
          <w:rFonts w:ascii="Times New Roman" w:hAnsi="Times New Roman" w:cs="Times New Roman"/>
        </w:rPr>
        <w:t>, (ii)</w:t>
      </w:r>
      <w:r w:rsidR="00491D6C" w:rsidRPr="00491D6C">
        <w:rPr>
          <w:rFonts w:ascii="Times New Roman" w:hAnsi="Times New Roman" w:cs="Times New Roman"/>
        </w:rPr>
        <w:t xml:space="preserve"> </w:t>
      </w:r>
      <w:r w:rsidR="00491D6C">
        <w:rPr>
          <w:rFonts w:ascii="Times New Roman" w:hAnsi="Times New Roman" w:cs="Times New Roman"/>
        </w:rPr>
        <w:t>t</w:t>
      </w:r>
      <w:r w:rsidR="00491D6C" w:rsidRPr="00491D6C">
        <w:rPr>
          <w:rFonts w:ascii="Times New Roman" w:hAnsi="Times New Roman" w:cs="Times New Roman"/>
        </w:rPr>
        <w:t>he ability of a public body to make a greater profit from the relevant activity by comparison with the competing private operator, as a result of differential fiscal treatment, will in principle produce a distortion of competition</w:t>
      </w:r>
      <w:r w:rsidR="00491D6C">
        <w:rPr>
          <w:rFonts w:ascii="Times New Roman" w:hAnsi="Times New Roman" w:cs="Times New Roman"/>
        </w:rPr>
        <w:t xml:space="preserve">, (iii) the test </w:t>
      </w:r>
      <w:r w:rsidR="00491D6C" w:rsidRPr="00491D6C">
        <w:rPr>
          <w:rFonts w:ascii="Times New Roman" w:hAnsi="Times New Roman" w:cs="Times New Roman"/>
        </w:rPr>
        <w:t>does not require an assessment of the effect of non-taxation on the pricing decisions of the public bodies in question</w:t>
      </w:r>
      <w:r w:rsidR="00491D6C">
        <w:rPr>
          <w:rFonts w:ascii="Times New Roman" w:hAnsi="Times New Roman" w:cs="Times New Roman"/>
        </w:rPr>
        <w:t xml:space="preserve">, (iv) </w:t>
      </w:r>
      <w:r w:rsidR="00491D6C" w:rsidRPr="00491D6C">
        <w:rPr>
          <w:rFonts w:ascii="Times New Roman" w:hAnsi="Times New Roman" w:cs="Times New Roman"/>
        </w:rPr>
        <w:t>detailed factual and expert evidence is</w:t>
      </w:r>
      <w:r w:rsidR="00491D6C">
        <w:rPr>
          <w:rFonts w:ascii="Times New Roman" w:hAnsi="Times New Roman" w:cs="Times New Roman"/>
        </w:rPr>
        <w:t xml:space="preserve"> not always</w:t>
      </w:r>
      <w:r w:rsidR="00491D6C" w:rsidRPr="00491D6C">
        <w:rPr>
          <w:rFonts w:ascii="Times New Roman" w:hAnsi="Times New Roman" w:cs="Times New Roman"/>
        </w:rPr>
        <w:t xml:space="preserve"> required to determine the existence of a distortion of competition</w:t>
      </w:r>
      <w:r w:rsidR="00491D6C">
        <w:rPr>
          <w:rFonts w:ascii="Times New Roman" w:hAnsi="Times New Roman" w:cs="Times New Roman"/>
        </w:rPr>
        <w:t>, and (v) the starting point is that i</w:t>
      </w:r>
      <w:r w:rsidR="00491D6C" w:rsidRPr="00491D6C">
        <w:rPr>
          <w:rFonts w:ascii="Times New Roman" w:hAnsi="Times New Roman" w:cs="Times New Roman"/>
        </w:rPr>
        <w:t xml:space="preserve">f the two activities are identical or similar from the point of view of the consumer and meet the same needs of the consumer then they are in competition with each other. If, further, the two activities are treated differently for the purposes of VAT then, </w:t>
      </w:r>
      <w:proofErr w:type="gramStart"/>
      <w:r w:rsidR="00491D6C" w:rsidRPr="00491D6C">
        <w:rPr>
          <w:rFonts w:ascii="Times New Roman" w:hAnsi="Times New Roman" w:cs="Times New Roman"/>
        </w:rPr>
        <w:t>as a general rule</w:t>
      </w:r>
      <w:proofErr w:type="gramEnd"/>
      <w:r w:rsidR="00491D6C" w:rsidRPr="00491D6C">
        <w:rPr>
          <w:rFonts w:ascii="Times New Roman" w:hAnsi="Times New Roman" w:cs="Times New Roman"/>
        </w:rPr>
        <w:t>, that will be regarded as giving rise to a distortion of competition</w:t>
      </w:r>
    </w:p>
    <w:p w14:paraId="792E44AF" w14:textId="77777777" w:rsidR="00491D6C" w:rsidRPr="00491D6C" w:rsidRDefault="00491D6C" w:rsidP="00491D6C">
      <w:pPr>
        <w:pStyle w:val="ListParagraph"/>
        <w:spacing w:after="160" w:line="360" w:lineRule="auto"/>
        <w:jc w:val="both"/>
        <w:rPr>
          <w:rFonts w:ascii="Times New Roman" w:hAnsi="Times New Roman" w:cs="Times New Roman"/>
        </w:rPr>
      </w:pPr>
    </w:p>
    <w:p w14:paraId="3BE7F2A1" w14:textId="14F5D033" w:rsidR="00BD595E" w:rsidRPr="00491D6C" w:rsidRDefault="00491D6C" w:rsidP="00BD595E">
      <w:pPr>
        <w:pStyle w:val="ListParagraph"/>
        <w:numPr>
          <w:ilvl w:val="0"/>
          <w:numId w:val="1"/>
        </w:numPr>
        <w:spacing w:after="160" w:line="36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This</w:t>
      </w:r>
      <w:r w:rsidR="001041F2">
        <w:rPr>
          <w:rFonts w:ascii="Times New Roman" w:eastAsia="Times New Roman" w:hAnsi="Times New Roman" w:cs="Times New Roman"/>
          <w:color w:val="000000"/>
          <w:lang w:eastAsia="en-GB"/>
        </w:rPr>
        <w:t xml:space="preserve"> decision</w:t>
      </w:r>
      <w:r>
        <w:rPr>
          <w:rFonts w:ascii="Times New Roman" w:eastAsia="Times New Roman" w:hAnsi="Times New Roman" w:cs="Times New Roman"/>
          <w:color w:val="000000"/>
          <w:lang w:eastAsia="en-GB"/>
        </w:rPr>
        <w:t xml:space="preserve"> has the potential to significantly reduce the evidential burden on HMRC in proving “significant distortion of competition”</w:t>
      </w:r>
      <w:r w:rsidR="001041F2">
        <w:rPr>
          <w:rFonts w:ascii="Times New Roman" w:eastAsia="Times New Roman" w:hAnsi="Times New Roman" w:cs="Times New Roman"/>
          <w:color w:val="000000"/>
          <w:lang w:eastAsia="en-GB"/>
        </w:rPr>
        <w:t xml:space="preserve"> where two activities are identical or similar from the point of view of the consumer, </w:t>
      </w:r>
      <w:proofErr w:type="gramStart"/>
      <w:r w:rsidR="001041F2">
        <w:rPr>
          <w:rFonts w:ascii="Times New Roman" w:eastAsia="Times New Roman" w:hAnsi="Times New Roman" w:cs="Times New Roman"/>
          <w:color w:val="000000"/>
          <w:lang w:eastAsia="en-GB"/>
        </w:rPr>
        <w:t>and also</w:t>
      </w:r>
      <w:proofErr w:type="gramEnd"/>
      <w:r w:rsidR="001041F2">
        <w:rPr>
          <w:rFonts w:ascii="Times New Roman" w:eastAsia="Times New Roman" w:hAnsi="Times New Roman" w:cs="Times New Roman"/>
          <w:color w:val="000000"/>
          <w:lang w:eastAsia="en-GB"/>
        </w:rPr>
        <w:t xml:space="preserve"> shows that the general approach to fiscal neutrality in terms of competition also applies to questions of public authority VAT exemption.</w:t>
      </w:r>
    </w:p>
    <w:sectPr w:rsidR="00BD595E" w:rsidRPr="00491D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86E6D"/>
    <w:multiLevelType w:val="hybridMultilevel"/>
    <w:tmpl w:val="546C1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B277D"/>
    <w:multiLevelType w:val="hybridMultilevel"/>
    <w:tmpl w:val="31EEC5D6"/>
    <w:lvl w:ilvl="0" w:tplc="60946B86">
      <w:start w:val="1"/>
      <w:numFmt w:val="decimal"/>
      <w:lvlText w:val="%1."/>
      <w:lvlJc w:val="left"/>
      <w:pPr>
        <w:ind w:left="720"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174932">
    <w:abstractNumId w:val="0"/>
  </w:num>
  <w:num w:numId="2" w16cid:durableId="88822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5E"/>
    <w:rsid w:val="001041F2"/>
    <w:rsid w:val="00491D6C"/>
    <w:rsid w:val="006C21C6"/>
    <w:rsid w:val="00BD595E"/>
    <w:rsid w:val="00C14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4689"/>
  <w15:chartTrackingRefBased/>
  <w15:docId w15:val="{99934049-2146-F040-A560-C6086212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595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D595E"/>
    <w:pPr>
      <w:ind w:left="720"/>
      <w:contextualSpacing/>
    </w:pPr>
  </w:style>
  <w:style w:type="paragraph" w:customStyle="1" w:styleId="Default">
    <w:name w:val="Default"/>
    <w:rsid w:val="006C21C6"/>
    <w:pPr>
      <w:autoSpaceDE w:val="0"/>
      <w:autoSpaceDN w:val="0"/>
      <w:adjustRightInd w:val="0"/>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0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WATKINSON</dc:creator>
  <cp:keywords/>
  <dc:description/>
  <cp:lastModifiedBy>HOWARD WATKINSON</cp:lastModifiedBy>
  <cp:revision>2</cp:revision>
  <dcterms:created xsi:type="dcterms:W3CDTF">2022-10-20T07:41:00Z</dcterms:created>
  <dcterms:modified xsi:type="dcterms:W3CDTF">2022-10-20T08:30:00Z</dcterms:modified>
</cp:coreProperties>
</file>