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9A3" w:rsidRDefault="00763FDB" w:rsidP="00763FDB">
      <w:pPr>
        <w:jc w:val="center"/>
      </w:pPr>
      <w:bookmarkStart w:id="0" w:name="_GoBack"/>
      <w:bookmarkEnd w:id="0"/>
      <w:r w:rsidRPr="00763FDB">
        <w:rPr>
          <w:noProof/>
          <w:lang w:eastAsia="en-GB"/>
        </w:rPr>
        <w:drawing>
          <wp:inline distT="0" distB="0" distL="0" distR="0" wp14:anchorId="07BAAADD" wp14:editId="1F398647">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69010" cy="960120"/>
                    </a:xfrm>
                    <a:prstGeom prst="rect">
                      <a:avLst/>
                    </a:prstGeom>
                  </pic:spPr>
                </pic:pic>
              </a:graphicData>
            </a:graphic>
          </wp:inline>
        </w:drawing>
      </w:r>
    </w:p>
    <w:p w:rsidR="00763FDB" w:rsidRDefault="00763FDB">
      <w:pPr>
        <w:jc w:val="right"/>
      </w:pPr>
    </w:p>
    <w:p w:rsidR="00C439A3" w:rsidRDefault="00C439A3">
      <w:pPr>
        <w:pStyle w:val="CoverText"/>
        <w:jc w:val="left"/>
        <w:rPr>
          <w:bCs/>
          <w:sz w:val="20"/>
          <w:u w:val="none"/>
        </w:rPr>
      </w:pPr>
      <w:r>
        <w:rPr>
          <w:bCs/>
        </w:rPr>
        <w:t xml:space="preserve">Neutral Citation Number: </w:t>
      </w:r>
      <w:r w:rsidR="00763FDB">
        <w:rPr>
          <w:bCs/>
        </w:rPr>
        <w:t>[2018] EWCA Civ 2321</w:t>
      </w:r>
      <w:r>
        <w:rPr>
          <w:bCs/>
        </w:rPr>
        <w:br/>
      </w:r>
    </w:p>
    <w:p w:rsidR="00C439A3" w:rsidRDefault="00C439A3">
      <w:pPr>
        <w:pStyle w:val="CoverText"/>
        <w:rPr>
          <w:b/>
          <w:spacing w:val="-3"/>
        </w:rPr>
      </w:pPr>
      <w:r>
        <w:t xml:space="preserve">Case No: </w:t>
      </w:r>
      <w:r w:rsidR="0000501A">
        <w:t>A2/2017/2282</w:t>
      </w:r>
    </w:p>
    <w:p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3238B1">
        <w:t>CIVIL</w:t>
      </w:r>
      <w:r>
        <w:t xml:space="preserve"> DIVISION)</w:t>
      </w:r>
    </w:p>
    <w:p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5D174D">
        <w:t>EMPLOYMENT APPEAL TRIBUNAL</w:t>
      </w:r>
    </w:p>
    <w:p w:rsidR="00C439A3" w:rsidRDefault="005D174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Simler P</w:t>
      </w:r>
    </w:p>
    <w:p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rsidR="00C439A3" w:rsidRDefault="00C439A3">
      <w:pPr>
        <w:pStyle w:val="CoverText"/>
      </w:pPr>
      <w:r>
        <w:t>Royal Courts of Justice</w:t>
      </w:r>
    </w:p>
    <w:p w:rsidR="00C439A3" w:rsidRDefault="00C439A3">
      <w:pPr>
        <w:pStyle w:val="CoverText"/>
      </w:pPr>
      <w:r>
        <w:t>Strand, London, WC2A 2LL</w:t>
      </w:r>
    </w:p>
    <w:p w:rsidR="00C439A3" w:rsidRDefault="00C439A3">
      <w:pPr>
        <w:suppressAutoHyphens/>
        <w:jc w:val="right"/>
        <w:rPr>
          <w:spacing w:val="-3"/>
          <w:u w:val="single"/>
        </w:rPr>
      </w:pPr>
    </w:p>
    <w:p w:rsidR="00C439A3" w:rsidRDefault="00C439A3">
      <w:pPr>
        <w:pStyle w:val="CoverText"/>
        <w:rPr>
          <w:b/>
        </w:rPr>
      </w:pPr>
      <w:r>
        <w:t xml:space="preserve">Date: </w:t>
      </w:r>
      <w:r w:rsidR="00763FDB">
        <w:t>19/10/2018</w:t>
      </w:r>
    </w:p>
    <w:p w:rsidR="00C439A3" w:rsidRDefault="00C439A3">
      <w:pPr>
        <w:suppressAutoHyphens/>
        <w:jc w:val="center"/>
        <w:rPr>
          <w:b/>
          <w:spacing w:val="-3"/>
        </w:rPr>
      </w:pPr>
      <w:r>
        <w:rPr>
          <w:b/>
          <w:spacing w:val="-3"/>
        </w:rPr>
        <w:t>Before :</w:t>
      </w:r>
    </w:p>
    <w:p w:rsidR="00C439A3" w:rsidRDefault="00C439A3">
      <w:pPr>
        <w:suppressAutoHyphens/>
        <w:jc w:val="center"/>
        <w:rPr>
          <w:spacing w:val="-3"/>
        </w:rPr>
      </w:pPr>
    </w:p>
    <w:p w:rsidR="005D174D" w:rsidRDefault="00763FDB" w:rsidP="005D174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UNDERHILL</w:t>
      </w:r>
    </w:p>
    <w:p w:rsidR="005D174D" w:rsidRDefault="005D174D" w:rsidP="005D174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(Vice-President of the Court of Appeal (Civil Division))</w:t>
      </w:r>
    </w:p>
    <w:p w:rsidR="00C439A3" w:rsidRDefault="0000501A" w:rsidP="005D174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RAFFERTY</w:t>
      </w:r>
    </w:p>
    <w:p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Pr>
          <w:b w:val="0"/>
          <w:bCs/>
          <w:u w:val="none"/>
        </w:rPr>
        <w:t>and</w:t>
      </w:r>
    </w:p>
    <w:p w:rsidR="00C439A3" w:rsidRDefault="00763FD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SALES</w:t>
      </w:r>
    </w:p>
    <w:p w:rsidR="00C439A3" w:rsidRDefault="00C439A3">
      <w:pPr>
        <w:suppressAutoHyphens/>
        <w:jc w:val="center"/>
        <w:rPr>
          <w:spacing w:val="-3"/>
        </w:rPr>
      </w:pPr>
      <w:r>
        <w:rPr>
          <w:spacing w:val="-3"/>
        </w:rPr>
        <w:t>- - - - - - - - - - - - - - - - - - - - -</w:t>
      </w:r>
    </w:p>
    <w:p w:rsidR="00C439A3" w:rsidRDefault="00C439A3">
      <w:pPr>
        <w:suppressAutoHyphens/>
        <w:jc w:val="center"/>
        <w:rPr>
          <w:b/>
          <w:spacing w:val="-3"/>
        </w:rPr>
      </w:pPr>
      <w:r>
        <w:rPr>
          <w:b/>
          <w:spacing w:val="-3"/>
        </w:rPr>
        <w:t>Between :</w:t>
      </w:r>
    </w:p>
    <w:p w:rsidR="00C439A3" w:rsidRDefault="00C439A3">
      <w:pPr>
        <w:suppressAutoHyphens/>
        <w:rPr>
          <w:b/>
          <w:spacing w:val="-3"/>
        </w:rPr>
      </w:pPr>
    </w:p>
    <w:tbl>
      <w:tblPr>
        <w:tblW w:w="9070" w:type="dxa"/>
        <w:tblInd w:w="144" w:type="dxa"/>
        <w:tblLayout w:type="fixed"/>
        <w:tblLook w:val="0000" w:firstRow="0" w:lastRow="0" w:firstColumn="0" w:lastColumn="0" w:noHBand="0" w:noVBand="0"/>
      </w:tblPr>
      <w:tblGrid>
        <w:gridCol w:w="1314"/>
        <w:gridCol w:w="6210"/>
        <w:gridCol w:w="1546"/>
      </w:tblGrid>
      <w:tr w:rsidR="00C439A3" w:rsidTr="0000501A">
        <w:tc>
          <w:tcPr>
            <w:tcW w:w="1314" w:type="dxa"/>
          </w:tcPr>
          <w:p w:rsidR="00C439A3" w:rsidRDefault="00C439A3">
            <w:pPr>
              <w:suppressAutoHyphens/>
              <w:rPr>
                <w:b/>
                <w:spacing w:val="-3"/>
              </w:rPr>
            </w:pPr>
          </w:p>
        </w:tc>
        <w:tc>
          <w:tcPr>
            <w:tcW w:w="6210" w:type="dxa"/>
          </w:tcPr>
          <w:p w:rsidR="00C439A3" w:rsidRDefault="00FA0D33" w:rsidP="00FA0D33">
            <w:pPr>
              <w:pStyle w:val="ListParagraph"/>
              <w:numPr>
                <w:ilvl w:val="0"/>
                <w:numId w:val="11"/>
              </w:numPr>
              <w:tabs>
                <w:tab w:val="left" w:pos="1807"/>
              </w:tabs>
              <w:suppressAutoHyphens/>
              <w:ind w:left="531" w:hanging="284"/>
              <w:jc w:val="center"/>
              <w:rPr>
                <w:b/>
                <w:spacing w:val="-3"/>
              </w:rPr>
            </w:pPr>
            <w:r>
              <w:rPr>
                <w:b/>
                <w:spacing w:val="-3"/>
              </w:rPr>
              <w:t xml:space="preserve"> </w:t>
            </w:r>
            <w:r w:rsidR="005D174D">
              <w:rPr>
                <w:b/>
                <w:spacing w:val="-3"/>
              </w:rPr>
              <w:t>FRANK TIMIS</w:t>
            </w:r>
          </w:p>
          <w:p w:rsidR="005D174D" w:rsidRPr="005D174D" w:rsidRDefault="00C6567F" w:rsidP="00FA0D33">
            <w:pPr>
              <w:pStyle w:val="ListParagraph"/>
              <w:numPr>
                <w:ilvl w:val="0"/>
                <w:numId w:val="11"/>
              </w:numPr>
              <w:tabs>
                <w:tab w:val="left" w:pos="1861"/>
              </w:tabs>
              <w:suppressAutoHyphens/>
              <w:jc w:val="center"/>
              <w:rPr>
                <w:b/>
                <w:spacing w:val="-3"/>
              </w:rPr>
            </w:pPr>
            <w:r>
              <w:rPr>
                <w:b/>
                <w:spacing w:val="-3"/>
              </w:rPr>
              <w:t>ANTONY</w:t>
            </w:r>
            <w:r w:rsidR="005D174D">
              <w:rPr>
                <w:b/>
                <w:spacing w:val="-3"/>
              </w:rPr>
              <w:t xml:space="preserve"> SAGE</w:t>
            </w:r>
          </w:p>
        </w:tc>
        <w:tc>
          <w:tcPr>
            <w:tcW w:w="1546" w:type="dxa"/>
          </w:tcPr>
          <w:p w:rsidR="005D174D" w:rsidRDefault="005D174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r w:rsidR="0000501A">
              <w:t>s</w:t>
            </w:r>
          </w:p>
        </w:tc>
      </w:tr>
      <w:tr w:rsidR="00C439A3" w:rsidTr="0000501A">
        <w:tc>
          <w:tcPr>
            <w:tcW w:w="1314" w:type="dxa"/>
          </w:tcPr>
          <w:p w:rsidR="00C439A3" w:rsidRDefault="00C439A3">
            <w:pPr>
              <w:suppressAutoHyphens/>
              <w:rPr>
                <w:b/>
                <w:spacing w:val="-3"/>
              </w:rPr>
            </w:pPr>
          </w:p>
        </w:tc>
        <w:tc>
          <w:tcPr>
            <w:tcW w:w="6210" w:type="dxa"/>
          </w:tcPr>
          <w:p w:rsidR="00C439A3" w:rsidRDefault="00C439A3" w:rsidP="00FA0D33">
            <w:pPr>
              <w:tabs>
                <w:tab w:val="center" w:pos="3312"/>
              </w:tabs>
              <w:suppressAutoHyphens/>
              <w:ind w:firstLine="106"/>
              <w:jc w:val="center"/>
              <w:rPr>
                <w:b/>
                <w:spacing w:val="-3"/>
              </w:rPr>
            </w:pPr>
            <w:r>
              <w:rPr>
                <w:b/>
                <w:spacing w:val="-3"/>
              </w:rPr>
              <w:t>- and -</w:t>
            </w:r>
          </w:p>
        </w:tc>
        <w:tc>
          <w:tcPr>
            <w:tcW w:w="1546" w:type="dxa"/>
          </w:tcPr>
          <w:p w:rsidR="00C439A3" w:rsidRDefault="00C439A3">
            <w:pPr>
              <w:suppressAutoHyphens/>
              <w:jc w:val="right"/>
              <w:rPr>
                <w:b/>
                <w:spacing w:val="-3"/>
              </w:rPr>
            </w:pPr>
          </w:p>
        </w:tc>
      </w:tr>
      <w:tr w:rsidR="00C439A3" w:rsidTr="0000501A">
        <w:tc>
          <w:tcPr>
            <w:tcW w:w="1314" w:type="dxa"/>
          </w:tcPr>
          <w:p w:rsidR="00C439A3" w:rsidRDefault="00C439A3">
            <w:pPr>
              <w:suppressAutoHyphens/>
              <w:rPr>
                <w:b/>
                <w:spacing w:val="-3"/>
              </w:rPr>
            </w:pPr>
          </w:p>
        </w:tc>
        <w:tc>
          <w:tcPr>
            <w:tcW w:w="6210" w:type="dxa"/>
          </w:tcPr>
          <w:p w:rsidR="005D174D" w:rsidRDefault="00514767" w:rsidP="00FA0D33">
            <w:pPr>
              <w:tabs>
                <w:tab w:val="center" w:pos="3312"/>
              </w:tabs>
              <w:suppressAutoHyphens/>
              <w:ind w:firstLine="389"/>
              <w:jc w:val="center"/>
              <w:rPr>
                <w:b/>
                <w:spacing w:val="-3"/>
              </w:rPr>
            </w:pPr>
            <w:r>
              <w:rPr>
                <w:b/>
                <w:spacing w:val="-3"/>
              </w:rPr>
              <w:t xml:space="preserve">ALEXANDER </w:t>
            </w:r>
            <w:r w:rsidR="0000501A">
              <w:rPr>
                <w:b/>
                <w:spacing w:val="-3"/>
              </w:rPr>
              <w:t xml:space="preserve">OSIPOV </w:t>
            </w:r>
          </w:p>
          <w:p w:rsidR="00C439A3" w:rsidRDefault="005D174D" w:rsidP="00FA0D33">
            <w:pPr>
              <w:ind w:firstLine="106"/>
              <w:jc w:val="center"/>
              <w:rPr>
                <w:b/>
                <w:spacing w:val="-3"/>
              </w:rPr>
            </w:pPr>
            <w:r>
              <w:rPr>
                <w:b/>
                <w:spacing w:val="-3"/>
              </w:rPr>
              <w:t>- and -</w:t>
            </w:r>
          </w:p>
          <w:p w:rsidR="005D174D" w:rsidRDefault="002F61F8" w:rsidP="00FA0D33">
            <w:pPr>
              <w:ind w:firstLine="106"/>
              <w:jc w:val="center"/>
              <w:rPr>
                <w:b/>
                <w:spacing w:val="-3"/>
              </w:rPr>
            </w:pPr>
            <w:r>
              <w:rPr>
                <w:b/>
                <w:spacing w:val="-3"/>
              </w:rPr>
              <w:t>PROTECT</w:t>
            </w:r>
          </w:p>
          <w:p w:rsidR="005D174D" w:rsidRDefault="005D174D" w:rsidP="005D174D">
            <w:pPr>
              <w:jc w:val="center"/>
            </w:pPr>
          </w:p>
          <w:p w:rsidR="005D174D" w:rsidRPr="005D174D" w:rsidRDefault="005D174D" w:rsidP="005D174D">
            <w:pPr>
              <w:jc w:val="center"/>
            </w:pPr>
          </w:p>
        </w:tc>
        <w:tc>
          <w:tcPr>
            <w:tcW w:w="1546" w:type="dxa"/>
          </w:tcPr>
          <w:p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p w:rsidR="005D174D" w:rsidRDefault="005D174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rsidR="005D174D" w:rsidRPr="005D174D" w:rsidRDefault="005D174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u w:val="none"/>
              </w:rPr>
            </w:pPr>
            <w:r w:rsidRPr="005D174D">
              <w:rPr>
                <w:u w:val="none"/>
              </w:rPr>
              <w:t xml:space="preserve">  </w:t>
            </w:r>
            <w:r w:rsidRPr="005D174D">
              <w:t>Intervener</w:t>
            </w:r>
          </w:p>
        </w:tc>
      </w:tr>
    </w:tbl>
    <w:p w:rsidR="00C439A3" w:rsidRDefault="00C439A3">
      <w:pPr>
        <w:suppressAutoHyphens/>
        <w:rPr>
          <w:b/>
          <w:spacing w:val="-3"/>
        </w:rPr>
      </w:pPr>
    </w:p>
    <w:p w:rsidR="00C439A3" w:rsidRDefault="00C439A3">
      <w:pPr>
        <w:suppressAutoHyphens/>
        <w:jc w:val="center"/>
        <w:rPr>
          <w:spacing w:val="-3"/>
        </w:rPr>
      </w:pPr>
      <w:r>
        <w:rPr>
          <w:spacing w:val="-3"/>
        </w:rPr>
        <w:t>- - - - - - - - - - - - - - - - - - - - -</w:t>
      </w:r>
    </w:p>
    <w:p w:rsidR="00C439A3" w:rsidRDefault="00C439A3">
      <w:pPr>
        <w:suppressAutoHyphens/>
        <w:jc w:val="center"/>
        <w:rPr>
          <w:spacing w:val="-3"/>
        </w:rPr>
      </w:pPr>
      <w:r>
        <w:rPr>
          <w:spacing w:val="-3"/>
        </w:rPr>
        <w:t>- - - - - - - - - - - - - - - - - - - - -</w:t>
      </w:r>
    </w:p>
    <w:p w:rsidR="00C439A3" w:rsidRDefault="00C439A3">
      <w:pPr>
        <w:suppressAutoHyphens/>
        <w:jc w:val="center"/>
        <w:rPr>
          <w:spacing w:val="-3"/>
        </w:rPr>
      </w:pPr>
    </w:p>
    <w:p w:rsidR="00C439A3" w:rsidRDefault="0000501A">
      <w:pPr>
        <w:suppressAutoHyphens/>
        <w:jc w:val="center"/>
        <w:rPr>
          <w:bCs/>
          <w:spacing w:val="-3"/>
        </w:rPr>
      </w:pPr>
      <w:r>
        <w:rPr>
          <w:b/>
          <w:spacing w:val="-3"/>
        </w:rPr>
        <w:t>Mr Daniel Stilitz</w:t>
      </w:r>
      <w:r w:rsidR="00C439A3">
        <w:rPr>
          <w:bCs/>
          <w:spacing w:val="-3"/>
        </w:rPr>
        <w:t xml:space="preserve"> </w:t>
      </w:r>
      <w:r w:rsidR="005D174D">
        <w:rPr>
          <w:b/>
          <w:bCs/>
          <w:spacing w:val="-3"/>
        </w:rPr>
        <w:t>QC</w:t>
      </w:r>
      <w:r w:rsidR="005D174D">
        <w:rPr>
          <w:bCs/>
          <w:spacing w:val="-3"/>
        </w:rPr>
        <w:t xml:space="preserve"> and </w:t>
      </w:r>
      <w:r w:rsidR="005D174D">
        <w:rPr>
          <w:b/>
          <w:bCs/>
          <w:spacing w:val="-3"/>
        </w:rPr>
        <w:t xml:space="preserve">Mr Simon Forshaw </w:t>
      </w:r>
      <w:r w:rsidR="00C439A3">
        <w:rPr>
          <w:bCs/>
          <w:spacing w:val="-3"/>
        </w:rPr>
        <w:t xml:space="preserve">(instructed by </w:t>
      </w:r>
      <w:r w:rsidRPr="0000501A">
        <w:rPr>
          <w:b/>
          <w:spacing w:val="-3"/>
        </w:rPr>
        <w:t>C</w:t>
      </w:r>
      <w:r>
        <w:rPr>
          <w:b/>
          <w:spacing w:val="-3"/>
        </w:rPr>
        <w:t>lyde</w:t>
      </w:r>
      <w:r w:rsidRPr="0000501A">
        <w:rPr>
          <w:b/>
          <w:spacing w:val="-3"/>
        </w:rPr>
        <w:t xml:space="preserve"> &amp; C</w:t>
      </w:r>
      <w:r>
        <w:rPr>
          <w:b/>
          <w:spacing w:val="-3"/>
        </w:rPr>
        <w:t>o</w:t>
      </w:r>
      <w:r w:rsidRPr="0000501A">
        <w:rPr>
          <w:b/>
          <w:spacing w:val="-3"/>
        </w:rPr>
        <w:t xml:space="preserve"> LLP</w:t>
      </w:r>
      <w:r w:rsidR="00C439A3">
        <w:rPr>
          <w:bCs/>
          <w:spacing w:val="-3"/>
        </w:rPr>
        <w:t xml:space="preserve">) for the </w:t>
      </w:r>
      <w:r>
        <w:rPr>
          <w:b/>
          <w:spacing w:val="-3"/>
        </w:rPr>
        <w:t>Appellants</w:t>
      </w:r>
    </w:p>
    <w:p w:rsidR="00C439A3" w:rsidRDefault="0000501A">
      <w:pPr>
        <w:suppressAutoHyphens/>
        <w:jc w:val="center"/>
        <w:rPr>
          <w:b/>
          <w:spacing w:val="-3"/>
        </w:rPr>
      </w:pPr>
      <w:r>
        <w:rPr>
          <w:b/>
          <w:spacing w:val="-3"/>
        </w:rPr>
        <w:t>Mr Bruce Carr QC</w:t>
      </w:r>
      <w:r w:rsidR="00C439A3">
        <w:rPr>
          <w:b/>
          <w:spacing w:val="-3"/>
        </w:rPr>
        <w:t xml:space="preserve"> </w:t>
      </w:r>
      <w:r w:rsidR="00C439A3">
        <w:rPr>
          <w:bCs/>
          <w:spacing w:val="-3"/>
        </w:rPr>
        <w:t>(instructed by</w:t>
      </w:r>
      <w:r w:rsidR="00C439A3">
        <w:rPr>
          <w:b/>
          <w:spacing w:val="-3"/>
        </w:rPr>
        <w:t xml:space="preserve"> </w:t>
      </w:r>
      <w:r w:rsidRPr="0000501A">
        <w:rPr>
          <w:b/>
          <w:spacing w:val="-3"/>
        </w:rPr>
        <w:t>B</w:t>
      </w:r>
      <w:r>
        <w:rPr>
          <w:b/>
          <w:spacing w:val="-3"/>
        </w:rPr>
        <w:t>rahams</w:t>
      </w:r>
      <w:r w:rsidRPr="0000501A">
        <w:rPr>
          <w:b/>
          <w:spacing w:val="-3"/>
        </w:rPr>
        <w:t xml:space="preserve"> D</w:t>
      </w:r>
      <w:r>
        <w:rPr>
          <w:b/>
          <w:spacing w:val="-3"/>
        </w:rPr>
        <w:t>utt</w:t>
      </w:r>
      <w:r w:rsidRPr="0000501A">
        <w:rPr>
          <w:b/>
          <w:spacing w:val="-3"/>
        </w:rPr>
        <w:t xml:space="preserve"> B</w:t>
      </w:r>
      <w:r>
        <w:rPr>
          <w:b/>
          <w:spacing w:val="-3"/>
        </w:rPr>
        <w:t>adrick</w:t>
      </w:r>
      <w:r w:rsidRPr="0000501A">
        <w:rPr>
          <w:b/>
          <w:spacing w:val="-3"/>
        </w:rPr>
        <w:t xml:space="preserve"> F</w:t>
      </w:r>
      <w:r>
        <w:rPr>
          <w:b/>
          <w:spacing w:val="-3"/>
        </w:rPr>
        <w:t>rench</w:t>
      </w:r>
      <w:r w:rsidRPr="0000501A">
        <w:rPr>
          <w:b/>
          <w:spacing w:val="-3"/>
        </w:rPr>
        <w:t xml:space="preserve"> LLP</w:t>
      </w:r>
      <w:r w:rsidR="00C439A3">
        <w:rPr>
          <w:bCs/>
          <w:spacing w:val="-3"/>
        </w:rPr>
        <w:t xml:space="preserve">) for the </w:t>
      </w:r>
      <w:r>
        <w:rPr>
          <w:b/>
          <w:spacing w:val="-3"/>
        </w:rPr>
        <w:t>Respondent</w:t>
      </w:r>
    </w:p>
    <w:p w:rsidR="005D174D" w:rsidRPr="005D174D" w:rsidRDefault="000E05AE">
      <w:pPr>
        <w:suppressAutoHyphens/>
        <w:jc w:val="center"/>
        <w:rPr>
          <w:b/>
          <w:bCs/>
          <w:spacing w:val="-3"/>
        </w:rPr>
      </w:pPr>
      <w:r>
        <w:rPr>
          <w:b/>
          <w:spacing w:val="-3"/>
        </w:rPr>
        <w:t>Ms Schona Jo</w:t>
      </w:r>
      <w:r w:rsidR="005D174D">
        <w:rPr>
          <w:b/>
          <w:spacing w:val="-3"/>
        </w:rPr>
        <w:t>lly QC</w:t>
      </w:r>
      <w:r w:rsidR="005D174D">
        <w:rPr>
          <w:spacing w:val="-3"/>
        </w:rPr>
        <w:t xml:space="preserve"> and </w:t>
      </w:r>
      <w:r w:rsidR="005D174D">
        <w:rPr>
          <w:b/>
          <w:spacing w:val="-3"/>
        </w:rPr>
        <w:t>Mr Christopher Milsom</w:t>
      </w:r>
      <w:r w:rsidR="005D174D">
        <w:rPr>
          <w:spacing w:val="-3"/>
        </w:rPr>
        <w:t xml:space="preserve"> (Instructed by </w:t>
      </w:r>
      <w:r w:rsidR="005D174D">
        <w:rPr>
          <w:b/>
          <w:spacing w:val="-3"/>
        </w:rPr>
        <w:t>Leigh Day &amp; Co.</w:t>
      </w:r>
      <w:r w:rsidR="005D174D">
        <w:rPr>
          <w:spacing w:val="-3"/>
        </w:rPr>
        <w:t xml:space="preserve">) for the </w:t>
      </w:r>
      <w:r w:rsidR="005D174D">
        <w:rPr>
          <w:b/>
          <w:spacing w:val="-3"/>
        </w:rPr>
        <w:t>Intervener</w:t>
      </w:r>
    </w:p>
    <w:p w:rsidR="00C439A3" w:rsidRDefault="00C439A3">
      <w:pPr>
        <w:suppressAutoHyphens/>
        <w:jc w:val="center"/>
        <w:rPr>
          <w:b/>
          <w:spacing w:val="-3"/>
        </w:rPr>
      </w:pPr>
    </w:p>
    <w:p w:rsidR="00C439A3" w:rsidRDefault="009F7675">
      <w:pPr>
        <w:suppressAutoHyphens/>
        <w:jc w:val="center"/>
        <w:rPr>
          <w:spacing w:val="-3"/>
        </w:rPr>
      </w:pPr>
      <w:r>
        <w:rPr>
          <w:spacing w:val="-3"/>
        </w:rPr>
        <w:t>Hearing dates</w:t>
      </w:r>
      <w:r w:rsidR="00C439A3">
        <w:rPr>
          <w:spacing w:val="-3"/>
        </w:rPr>
        <w:t xml:space="preserve">: </w:t>
      </w:r>
      <w:r w:rsidR="0000501A">
        <w:rPr>
          <w:spacing w:val="-3"/>
        </w:rPr>
        <w:t>9</w:t>
      </w:r>
      <w:r w:rsidR="0000501A" w:rsidRPr="0000501A">
        <w:rPr>
          <w:spacing w:val="-3"/>
          <w:vertAlign w:val="superscript"/>
        </w:rPr>
        <w:t>th</w:t>
      </w:r>
      <w:r w:rsidR="0000501A">
        <w:rPr>
          <w:spacing w:val="-3"/>
        </w:rPr>
        <w:t xml:space="preserve"> &amp; 10</w:t>
      </w:r>
      <w:r w:rsidR="0000501A" w:rsidRPr="0000501A">
        <w:rPr>
          <w:spacing w:val="-3"/>
          <w:vertAlign w:val="superscript"/>
        </w:rPr>
        <w:t>th</w:t>
      </w:r>
      <w:r w:rsidR="0000501A">
        <w:rPr>
          <w:spacing w:val="-3"/>
        </w:rPr>
        <w:t xml:space="preserve"> July 2018</w:t>
      </w:r>
    </w:p>
    <w:p w:rsidR="00C439A3" w:rsidRDefault="00C439A3">
      <w:pPr>
        <w:suppressAutoHyphens/>
        <w:jc w:val="center"/>
        <w:rPr>
          <w:spacing w:val="-3"/>
        </w:rPr>
      </w:pPr>
      <w:r>
        <w:rPr>
          <w:spacing w:val="-3"/>
        </w:rPr>
        <w:t>- - - - - - - - - - - - - - - - - - - - -</w:t>
      </w:r>
    </w:p>
    <w:p w:rsidR="00C439A3" w:rsidRDefault="00763FDB" w:rsidP="00763FDB">
      <w:pPr>
        <w:pStyle w:val="CoverDesc"/>
      </w:pPr>
      <w:r>
        <w:t>Approved Judgment</w:t>
      </w:r>
    </w:p>
    <w:p w:rsidR="00C439A3" w:rsidRDefault="00C439A3">
      <w:pPr>
        <w:pStyle w:val="CoverDesc"/>
        <w:rPr>
          <w:sz w:val="24"/>
        </w:rPr>
      </w:pPr>
    </w:p>
    <w:p w:rsidR="00C439A3" w:rsidRDefault="00C439A3"/>
    <w:p w:rsidR="00C439A3" w:rsidRDefault="00C439A3">
      <w:pPr>
        <w:sectPr w:rsidR="00C439A3">
          <w:headerReference w:type="even" r:id="rId8"/>
          <w:headerReference w:type="default" r:id="rId9"/>
          <w:footerReference w:type="even" r:id="rId10"/>
          <w:footerReference w:type="default" r:id="rId11"/>
          <w:headerReference w:type="first" r:id="rId12"/>
          <w:footerReference w:type="first" r:id="rId13"/>
          <w:pgSz w:w="11909" w:h="16834" w:code="9"/>
          <w:pgMar w:top="720" w:right="1440" w:bottom="720" w:left="1440" w:header="720" w:footer="720" w:gutter="0"/>
          <w:pgNumType w:start="1"/>
          <w:cols w:space="720"/>
        </w:sectPr>
      </w:pPr>
    </w:p>
    <w:p w:rsidR="000E05AE" w:rsidRDefault="0050676D">
      <w:pPr>
        <w:spacing w:after="240"/>
        <w:sectPr w:rsidR="000E05AE">
          <w:headerReference w:type="default" r:id="rId14"/>
          <w:footerReference w:type="default" r:id="rId15"/>
          <w:pgSz w:w="11906" w:h="16838" w:code="9"/>
          <w:pgMar w:top="1440" w:right="1440" w:bottom="1440" w:left="1440" w:header="709" w:footer="709" w:gutter="0"/>
          <w:cols w:space="708"/>
          <w:docGrid w:linePitch="360"/>
        </w:sectPr>
      </w:pPr>
      <w:r>
        <w:rPr>
          <w:b/>
        </w:rPr>
        <w:lastRenderedPageBreak/>
        <w:t>Lord Justice Underhill</w:t>
      </w:r>
      <w:r w:rsidR="00C439A3">
        <w:rPr>
          <w:b/>
        </w:rPr>
        <w:t xml:space="preserve"> :</w:t>
      </w:r>
    </w:p>
    <w:p w:rsidR="000E05AE" w:rsidRPr="000E05AE" w:rsidRDefault="000E05AE" w:rsidP="00763FDB">
      <w:pPr>
        <w:pStyle w:val="ParaHeading"/>
        <w:rPr>
          <w:b/>
          <w:u w:val="single"/>
        </w:rPr>
      </w:pPr>
      <w:r>
        <w:rPr>
          <w:b/>
          <w:u w:val="single"/>
        </w:rPr>
        <w:t>INTRODUCTION</w:t>
      </w:r>
    </w:p>
    <w:p w:rsidR="00460D61" w:rsidRDefault="003A33BC" w:rsidP="00763FDB">
      <w:pPr>
        <w:pStyle w:val="ParaLevel1"/>
      </w:pPr>
      <w:r>
        <w:t xml:space="preserve">The </w:t>
      </w:r>
      <w:r w:rsidR="00C34B1B">
        <w:t>issue</w:t>
      </w:r>
      <w:r w:rsidR="00AA62BB">
        <w:t>s</w:t>
      </w:r>
      <w:r w:rsidR="00C34B1B">
        <w:t xml:space="preserve"> in</w:t>
      </w:r>
      <w:r w:rsidR="00361925">
        <w:t xml:space="preserve"> this appeal can be summarised</w:t>
      </w:r>
      <w:r w:rsidR="009E193A">
        <w:t xml:space="preserve"> as follows</w:t>
      </w:r>
      <w:r w:rsidR="004254B1">
        <w:t>, al</w:t>
      </w:r>
      <w:r w:rsidR="00460D61">
        <w:t>beit at the co</w:t>
      </w:r>
      <w:r w:rsidR="004254B1">
        <w:t>st of some over-compression</w:t>
      </w:r>
      <w:r w:rsidR="00460D61">
        <w:t>:</w:t>
      </w:r>
    </w:p>
    <w:p w:rsidR="00D9302C" w:rsidRDefault="00460D61" w:rsidP="00763FDB">
      <w:pPr>
        <w:pStyle w:val="ParaLevel1"/>
        <w:numPr>
          <w:ilvl w:val="0"/>
          <w:numId w:val="0"/>
        </w:numPr>
        <w:ind w:left="1287" w:hanging="567"/>
      </w:pPr>
      <w:r>
        <w:t>(1)</w:t>
      </w:r>
      <w:r>
        <w:tab/>
      </w:r>
      <w:r w:rsidR="00C34B1B">
        <w:t xml:space="preserve">The </w:t>
      </w:r>
      <w:r w:rsidR="003A33BC">
        <w:t>Respondent</w:t>
      </w:r>
      <w:r w:rsidR="00A3633E">
        <w:t>, Mr Alexander Osipov, to whom I will refer as “the Claimant”, was employed by an oil exploration company</w:t>
      </w:r>
      <w:r w:rsidR="00367AC0">
        <w:t xml:space="preserve"> </w:t>
      </w:r>
      <w:r w:rsidR="00A3633E">
        <w:t>called International Petroleum Ltd (“IPL”)</w:t>
      </w:r>
      <w:r w:rsidR="00703015">
        <w:t xml:space="preserve"> as its CEO.  Two of </w:t>
      </w:r>
      <w:r w:rsidR="003109E8">
        <w:t>IPL’s</w:t>
      </w:r>
      <w:r w:rsidR="00703015">
        <w:t xml:space="preserve"> directors </w:t>
      </w:r>
      <w:r w:rsidR="003109E8">
        <w:t xml:space="preserve">were Mr Frank Timis and Mr </w:t>
      </w:r>
      <w:r w:rsidR="00C6567F">
        <w:t>Antony</w:t>
      </w:r>
      <w:r w:rsidR="003109E8">
        <w:t xml:space="preserve"> Sage, who are the Appellants</w:t>
      </w:r>
      <w:r w:rsidR="00BF5120">
        <w:t>.</w:t>
      </w:r>
      <w:r w:rsidR="003109E8">
        <w:t xml:space="preserve"> </w:t>
      </w:r>
      <w:r w:rsidR="00BF5120">
        <w:t xml:space="preserve"> </w:t>
      </w:r>
      <w:r w:rsidR="003109E8">
        <w:t xml:space="preserve">Mr Timis is </w:t>
      </w:r>
      <w:r w:rsidR="003A33BC">
        <w:t>IPL’s</w:t>
      </w:r>
      <w:r w:rsidR="003109E8">
        <w:t xml:space="preserve"> largest </w:t>
      </w:r>
      <w:r w:rsidR="003A33BC">
        <w:t xml:space="preserve">individual </w:t>
      </w:r>
      <w:r w:rsidR="003109E8">
        <w:t xml:space="preserve">shareholder.  </w:t>
      </w:r>
      <w:r w:rsidR="00BF5120">
        <w:t>Mr Sage was at the material time its Chairman.</w:t>
      </w:r>
    </w:p>
    <w:p w:rsidR="00D9302C" w:rsidRDefault="00D9302C" w:rsidP="00763FDB">
      <w:pPr>
        <w:pStyle w:val="ParaLevel1"/>
        <w:numPr>
          <w:ilvl w:val="0"/>
          <w:numId w:val="0"/>
        </w:numPr>
        <w:ind w:left="1287" w:hanging="567"/>
      </w:pPr>
      <w:r>
        <w:t>(2)</w:t>
      </w:r>
      <w:r>
        <w:tab/>
        <w:t xml:space="preserve">In late October 2014 </w:t>
      </w:r>
      <w:r w:rsidR="009E7577">
        <w:t xml:space="preserve">Mr Timis, with the agreement of Mr Sage, decided that the Claimant should be </w:t>
      </w:r>
      <w:r w:rsidR="00FA4BC8">
        <w:t xml:space="preserve">summarily </w:t>
      </w:r>
      <w:r w:rsidR="009E7577">
        <w:t xml:space="preserve">dismissed, and the dismissal was effected by </w:t>
      </w:r>
      <w:r w:rsidR="00C56966">
        <w:t xml:space="preserve">an </w:t>
      </w:r>
      <w:r w:rsidR="009E7577">
        <w:t>e-mail from Mr Sage</w:t>
      </w:r>
      <w:r w:rsidR="00C56966" w:rsidRPr="00C56966">
        <w:t xml:space="preserve"> </w:t>
      </w:r>
      <w:r w:rsidR="00C56966">
        <w:t>sent on 27 October</w:t>
      </w:r>
      <w:r w:rsidR="009E7577">
        <w:t xml:space="preserve">.  </w:t>
      </w:r>
    </w:p>
    <w:p w:rsidR="00C17FD4" w:rsidRDefault="00D9302C" w:rsidP="00763FDB">
      <w:pPr>
        <w:pStyle w:val="ParaLevel1"/>
        <w:numPr>
          <w:ilvl w:val="0"/>
          <w:numId w:val="0"/>
        </w:numPr>
        <w:ind w:left="1287" w:hanging="567"/>
      </w:pPr>
      <w:r>
        <w:t>(3)</w:t>
      </w:r>
      <w:r>
        <w:tab/>
      </w:r>
      <w:r w:rsidR="006033CB">
        <w:t>A</w:t>
      </w:r>
      <w:r w:rsidR="00B50F8E">
        <w:t xml:space="preserve">n Employment Tribunal </w:t>
      </w:r>
      <w:r w:rsidR="00524D94">
        <w:t>found that the principal reason for the Claimant’s dismissal was that he had made protected disclosures – that is</w:t>
      </w:r>
      <w:r w:rsidR="00156BCB">
        <w:t xml:space="preserve">, that he was a whistleblower.  </w:t>
      </w:r>
      <w:r w:rsidR="00524D94">
        <w:t xml:space="preserve">It accordingly held that he had been unfairly dismissed by IPL, </w:t>
      </w:r>
      <w:r w:rsidR="003A25F0">
        <w:t>by reference to</w:t>
      </w:r>
      <w:r w:rsidR="00B50F8E">
        <w:t xml:space="preserve"> </w:t>
      </w:r>
      <w:r w:rsidR="003A25F0">
        <w:t xml:space="preserve">section 103A of the </w:t>
      </w:r>
      <w:r w:rsidR="000E05AE">
        <w:t>Employment Rights Act 1996</w:t>
      </w:r>
      <w:r w:rsidR="00DB1270">
        <w:t>, which proscribes “whistleblower dismissal”</w:t>
      </w:r>
      <w:r w:rsidR="00212F18">
        <w:t xml:space="preserve">: that decision is not challenged before us.  </w:t>
      </w:r>
    </w:p>
    <w:p w:rsidR="00015894" w:rsidRDefault="00C17FD4" w:rsidP="00763FDB">
      <w:pPr>
        <w:pStyle w:val="ParaLevel1"/>
        <w:numPr>
          <w:ilvl w:val="0"/>
          <w:numId w:val="0"/>
        </w:numPr>
        <w:ind w:left="1287" w:hanging="567"/>
      </w:pPr>
      <w:r>
        <w:t>(4)</w:t>
      </w:r>
      <w:r>
        <w:tab/>
      </w:r>
      <w:r w:rsidR="00294224">
        <w:t>However,</w:t>
      </w:r>
      <w:r w:rsidR="00212F18">
        <w:t xml:space="preserve"> the ET</w:t>
      </w:r>
      <w:r w:rsidR="00156BCB">
        <w:t xml:space="preserve"> also held that by their conduct in relation to his dismissal the Appellants had </w:t>
      </w:r>
      <w:r w:rsidR="00B60D25">
        <w:t xml:space="preserve">subjected </w:t>
      </w:r>
      <w:r w:rsidR="004E283E">
        <w:t>him</w:t>
      </w:r>
      <w:r w:rsidR="00B60D25">
        <w:t xml:space="preserve"> to a detriment, or detriments, contrary to section 47B of the same Act</w:t>
      </w:r>
      <w:r w:rsidR="00DB1270">
        <w:t>, which proscribes “whistleblower detriment”</w:t>
      </w:r>
      <w:r w:rsidR="00474F1D">
        <w:t xml:space="preserve"> by individuals employed</w:t>
      </w:r>
      <w:r w:rsidR="00C57705">
        <w:rPr>
          <w:rStyle w:val="FootnoteReference"/>
        </w:rPr>
        <w:footnoteReference w:id="1"/>
      </w:r>
      <w:r w:rsidR="00DC631D">
        <w:t xml:space="preserve"> </w:t>
      </w:r>
      <w:r w:rsidR="00474F1D">
        <w:t>by the same employer</w:t>
      </w:r>
      <w:r w:rsidR="006A5FA8">
        <w:t>,</w:t>
      </w:r>
      <w:r w:rsidR="0046395E">
        <w:t xml:space="preserve"> as well as </w:t>
      </w:r>
      <w:r w:rsidR="00B320C4">
        <w:t>by the employer</w:t>
      </w:r>
      <w:r w:rsidR="006A5FA8">
        <w:t xml:space="preserve"> itself</w:t>
      </w:r>
      <w:r w:rsidR="00DB1270">
        <w:t>;</w:t>
      </w:r>
      <w:r w:rsidR="008F36F7">
        <w:t xml:space="preserve"> and that they</w:t>
      </w:r>
      <w:r w:rsidR="004E283E">
        <w:t xml:space="preserve"> were jointly and severally liable</w:t>
      </w:r>
      <w:r w:rsidR="00D572DF">
        <w:t>, with IPL,</w:t>
      </w:r>
      <w:r w:rsidR="004E283E">
        <w:t xml:space="preserve"> to compensate him </w:t>
      </w:r>
      <w:r w:rsidR="00AB1317">
        <w:t xml:space="preserve">for the </w:t>
      </w:r>
      <w:r w:rsidR="0099269C">
        <w:t>losses suffered as result</w:t>
      </w:r>
      <w:r w:rsidR="00AB1317">
        <w:t xml:space="preserve"> of his dismissal</w:t>
      </w:r>
      <w:r w:rsidR="000942A6">
        <w:t xml:space="preserve"> in an amount </w:t>
      </w:r>
      <w:r w:rsidR="004C3261">
        <w:t>then quantified at £</w:t>
      </w:r>
      <w:r w:rsidR="00022606">
        <w:t>1,744.575.56.</w:t>
      </w:r>
      <w:r w:rsidR="00015894">
        <w:t xml:space="preserve">  </w:t>
      </w:r>
      <w:r w:rsidR="00DB1270">
        <w:t>That decision</w:t>
      </w:r>
      <w:r w:rsidR="000942A6">
        <w:t xml:space="preserve"> was </w:t>
      </w:r>
      <w:r w:rsidR="00F01693">
        <w:t xml:space="preserve">in substance </w:t>
      </w:r>
      <w:r w:rsidR="000942A6">
        <w:t>upheld by the Employment Appeal Tribunal</w:t>
      </w:r>
      <w:r w:rsidR="001B19BC">
        <w:t xml:space="preserve">, although the amount </w:t>
      </w:r>
      <w:r w:rsidR="00F01693">
        <w:t xml:space="preserve">had to be re-calculated and is now </w:t>
      </w:r>
      <w:r w:rsidR="00AD008F">
        <w:t xml:space="preserve">agreed as </w:t>
      </w:r>
      <w:r w:rsidR="009B038F">
        <w:rPr>
          <w:rFonts w:eastAsia="Calibri"/>
        </w:rPr>
        <w:t>£2,003,972.35.</w:t>
      </w:r>
    </w:p>
    <w:p w:rsidR="00AA62BB" w:rsidRDefault="00D572DF" w:rsidP="00763FDB">
      <w:pPr>
        <w:pStyle w:val="ParaLevel1"/>
        <w:numPr>
          <w:ilvl w:val="0"/>
          <w:numId w:val="0"/>
        </w:numPr>
        <w:ind w:left="1287" w:hanging="567"/>
      </w:pPr>
      <w:r>
        <w:t>(5</w:t>
      </w:r>
      <w:r w:rsidR="00015894">
        <w:t>)</w:t>
      </w:r>
      <w:r w:rsidR="00015894">
        <w:tab/>
        <w:t>The principal issue o</w:t>
      </w:r>
      <w:r w:rsidR="00DB1270">
        <w:t xml:space="preserve">n this appeal </w:t>
      </w:r>
      <w:r w:rsidR="00015894">
        <w:t>is whether it was</w:t>
      </w:r>
      <w:r w:rsidR="00B62EA2">
        <w:t xml:space="preserve"> open to the ET</w:t>
      </w:r>
      <w:r w:rsidR="00981614">
        <w:t xml:space="preserve"> </w:t>
      </w:r>
      <w:r w:rsidR="00F31D95">
        <w:t xml:space="preserve">to award the Claimant compensation </w:t>
      </w:r>
      <w:r w:rsidR="00B10F32">
        <w:t>against the Appellants</w:t>
      </w:r>
      <w:r w:rsidR="001B19BC">
        <w:t>,</w:t>
      </w:r>
      <w:r w:rsidR="00FA0D33">
        <w:t xml:space="preserve"> as individuals,</w:t>
      </w:r>
      <w:r w:rsidR="00981614">
        <w:t xml:space="preserve"> </w:t>
      </w:r>
      <w:r w:rsidR="00F31D95">
        <w:t xml:space="preserve">for the </w:t>
      </w:r>
      <w:r w:rsidR="00981614">
        <w:t>losses occasioned by</w:t>
      </w:r>
      <w:r w:rsidR="00813ECD">
        <w:t xml:space="preserve"> his dismissal</w:t>
      </w:r>
      <w:r w:rsidR="008C290B">
        <w:t>.  It is the</w:t>
      </w:r>
      <w:r w:rsidR="00FA0D33">
        <w:t>ir</w:t>
      </w:r>
      <w:r w:rsidR="00B10F32">
        <w:t xml:space="preserve"> case that </w:t>
      </w:r>
      <w:r w:rsidR="00813ECD">
        <w:t>such compensation could only be awarded by way of co</w:t>
      </w:r>
      <w:r w:rsidR="001B19BC">
        <w:t>mpensation for unfair dismissal</w:t>
      </w:r>
      <w:r w:rsidR="00813ECD">
        <w:t xml:space="preserve"> and t</w:t>
      </w:r>
      <w:r w:rsidR="000B1B8B">
        <w:t>h</w:t>
      </w:r>
      <w:r w:rsidR="00813ECD">
        <w:t>us only against IPL</w:t>
      </w:r>
      <w:r w:rsidR="000B1B8B">
        <w:t xml:space="preserve"> (since only the employer can be liable for unfair dismissal).</w:t>
      </w:r>
    </w:p>
    <w:p w:rsidR="00FB3105" w:rsidRDefault="00DD4B4D" w:rsidP="00763FDB">
      <w:pPr>
        <w:pStyle w:val="ParaLevel1"/>
        <w:numPr>
          <w:ilvl w:val="0"/>
          <w:numId w:val="0"/>
        </w:numPr>
        <w:ind w:left="1287" w:hanging="567"/>
      </w:pPr>
      <w:r>
        <w:t>(6)</w:t>
      </w:r>
      <w:r>
        <w:tab/>
        <w:t xml:space="preserve">There is also an issue as </w:t>
      </w:r>
      <w:r w:rsidR="00DC631D">
        <w:t>t</w:t>
      </w:r>
      <w:r>
        <w:t>o whether, even if Mr Timis is liable on the basis found, the same reasoning can apply to Mr Sage.</w:t>
      </w:r>
      <w:r w:rsidR="000B1B8B">
        <w:t xml:space="preserve"> </w:t>
      </w:r>
    </w:p>
    <w:p w:rsidR="00F63720" w:rsidRDefault="00724770" w:rsidP="00763FDB">
      <w:pPr>
        <w:pStyle w:val="ParaLevel1"/>
      </w:pPr>
      <w:r>
        <w:t xml:space="preserve">In </w:t>
      </w:r>
      <w:r w:rsidR="00BB43FD">
        <w:t>most discrimination cases</w:t>
      </w:r>
      <w:r>
        <w:t xml:space="preserve"> the issue </w:t>
      </w:r>
      <w:r w:rsidR="00BB43FD">
        <w:t>of the</w:t>
      </w:r>
      <w:r w:rsidR="005E7E1C">
        <w:t xml:space="preserve"> individual liability </w:t>
      </w:r>
      <w:r w:rsidR="00BB43FD">
        <w:t xml:space="preserve">of </w:t>
      </w:r>
      <w:r w:rsidR="002D25B1">
        <w:t>a co-worker</w:t>
      </w:r>
      <w:r w:rsidR="00BB43FD">
        <w:t xml:space="preserve"> </w:t>
      </w:r>
      <w:r w:rsidR="00C17FD4">
        <w:t>is</w:t>
      </w:r>
      <w:r w:rsidR="005E7E1C">
        <w:t xml:space="preserve"> of limited practical significance because the employer </w:t>
      </w:r>
      <w:r w:rsidR="00AD008F">
        <w:t xml:space="preserve">usually </w:t>
      </w:r>
      <w:r w:rsidR="007E2407">
        <w:t>discharge</w:t>
      </w:r>
      <w:r w:rsidR="00AD008F">
        <w:t>s</w:t>
      </w:r>
      <w:r w:rsidR="007E2407">
        <w:t xml:space="preserve"> the full </w:t>
      </w:r>
      <w:r w:rsidR="003737F0">
        <w:t>amount</w:t>
      </w:r>
      <w:r w:rsidR="002D5D4A">
        <w:t xml:space="preserve"> of the award</w:t>
      </w:r>
      <w:r w:rsidR="007E2407">
        <w:t xml:space="preserve">.  But </w:t>
      </w:r>
      <w:r w:rsidR="00A11A58">
        <w:t xml:space="preserve">that is not </w:t>
      </w:r>
      <w:r w:rsidR="009520F9">
        <w:t>always so</w:t>
      </w:r>
      <w:r w:rsidR="00A11A58">
        <w:t xml:space="preserve">.  </w:t>
      </w:r>
      <w:r w:rsidR="002D4F5D">
        <w:t>In this case w</w:t>
      </w:r>
      <w:r w:rsidR="001C5397">
        <w:t>e</w:t>
      </w:r>
      <w:r w:rsidR="000E05AE">
        <w:t xml:space="preserve"> were told that IPL </w:t>
      </w:r>
      <w:r w:rsidR="003D114B">
        <w:t>is insolvent</w:t>
      </w:r>
      <w:r w:rsidR="000E05AE">
        <w:t xml:space="preserve"> </w:t>
      </w:r>
      <w:r w:rsidR="000E05AE">
        <w:lastRenderedPageBreak/>
        <w:t xml:space="preserve">and </w:t>
      </w:r>
      <w:r w:rsidR="002D4F5D">
        <w:t xml:space="preserve">that </w:t>
      </w:r>
      <w:r w:rsidR="003D114B">
        <w:t xml:space="preserve">the Claimant </w:t>
      </w:r>
      <w:r w:rsidR="002D4F5D">
        <w:t>is</w:t>
      </w:r>
      <w:r w:rsidR="003D114B">
        <w:t xml:space="preserve"> accordingly</w:t>
      </w:r>
      <w:r w:rsidR="003737F0">
        <w:t xml:space="preserve"> looking to recover from the Appellants</w:t>
      </w:r>
      <w:r w:rsidR="003D114B">
        <w:t xml:space="preserve"> personally.  </w:t>
      </w:r>
      <w:r w:rsidR="003737F0">
        <w:t>W</w:t>
      </w:r>
      <w:r w:rsidR="0034383C">
        <w:t>e were also told that the Appellants</w:t>
      </w:r>
      <w:r w:rsidR="00793C43">
        <w:t xml:space="preserve"> </w:t>
      </w:r>
      <w:r w:rsidR="000E05AE">
        <w:t xml:space="preserve">have the benefit of directors’ insurance </w:t>
      </w:r>
      <w:r w:rsidR="00793C43">
        <w:t>which will cover</w:t>
      </w:r>
      <w:r w:rsidR="00767D72">
        <w:t xml:space="preserve"> the full amount of the</w:t>
      </w:r>
      <w:r w:rsidR="000E05AE">
        <w:t xml:space="preserve"> claim</w:t>
      </w:r>
      <w:r w:rsidR="00767D72">
        <w:rPr>
          <w:rStyle w:val="FootnoteReference"/>
        </w:rPr>
        <w:footnoteReference w:id="2"/>
      </w:r>
      <w:r w:rsidR="00793C43">
        <w:t xml:space="preserve">; but that would not </w:t>
      </w:r>
      <w:r w:rsidR="00DD03A6">
        <w:t xml:space="preserve">always </w:t>
      </w:r>
      <w:r w:rsidR="00307D83">
        <w:t>be so.  T</w:t>
      </w:r>
      <w:r w:rsidR="00A11A58">
        <w:t>he</w:t>
      </w:r>
      <w:r w:rsidR="00307D83">
        <w:t xml:space="preserve"> issue of the extent of individual liability in such cases i</w:t>
      </w:r>
      <w:r w:rsidR="005C353E">
        <w:t>s one of real importance</w:t>
      </w:r>
      <w:r w:rsidR="00307D83">
        <w:t>, and for</w:t>
      </w:r>
      <w:r w:rsidR="005C353E">
        <w:t xml:space="preserve"> that reason t</w:t>
      </w:r>
      <w:r w:rsidR="000E34A5">
        <w:t>he whistleblower charity</w:t>
      </w:r>
      <w:r w:rsidR="0086085B">
        <w:t xml:space="preserve"> </w:t>
      </w:r>
      <w:r w:rsidR="002F61F8">
        <w:t>Protect (until recently known as Public Concern at Work</w:t>
      </w:r>
      <w:r w:rsidR="000E34A5">
        <w:t xml:space="preserve">) </w:t>
      </w:r>
      <w:r w:rsidR="00CC39E3">
        <w:t xml:space="preserve">has </w:t>
      </w:r>
      <w:r w:rsidR="005C353E">
        <w:t xml:space="preserve">applied for </w:t>
      </w:r>
      <w:r w:rsidR="00CC39E3">
        <w:t xml:space="preserve">and been </w:t>
      </w:r>
      <w:r w:rsidR="000E34A5">
        <w:t xml:space="preserve">given </w:t>
      </w:r>
      <w:r w:rsidR="0086085B">
        <w:t xml:space="preserve">permission </w:t>
      </w:r>
      <w:r w:rsidR="000E34A5">
        <w:t xml:space="preserve">to intervene in the appeal.  </w:t>
      </w:r>
    </w:p>
    <w:p w:rsidR="00045383" w:rsidRPr="00045383" w:rsidRDefault="00045383" w:rsidP="00763FDB">
      <w:pPr>
        <w:pStyle w:val="ParaLevel1"/>
        <w:rPr>
          <w:szCs w:val="24"/>
        </w:rPr>
      </w:pPr>
      <w:r w:rsidRPr="00045383">
        <w:rPr>
          <w:szCs w:val="24"/>
        </w:rPr>
        <w:t xml:space="preserve">I should mention </w:t>
      </w:r>
      <w:r>
        <w:rPr>
          <w:szCs w:val="24"/>
        </w:rPr>
        <w:t xml:space="preserve">for completeness </w:t>
      </w:r>
      <w:r w:rsidRPr="00045383">
        <w:rPr>
          <w:szCs w:val="24"/>
        </w:rPr>
        <w:t>that IPL also initially sought permission to appeal, but its application was adjourned to the full hearing because it was unclear how the pleaded grounds, which went only to the liability of the individuals</w:t>
      </w:r>
      <w:r w:rsidR="00414347">
        <w:rPr>
          <w:szCs w:val="24"/>
        </w:rPr>
        <w:t>,</w:t>
      </w:r>
      <w:r w:rsidR="001B19BC">
        <w:rPr>
          <w:szCs w:val="24"/>
        </w:rPr>
        <w:t xml:space="preserve"> affected its own liability.  </w:t>
      </w:r>
      <w:r w:rsidRPr="00045383">
        <w:rPr>
          <w:szCs w:val="24"/>
        </w:rPr>
        <w:t xml:space="preserve">In the event an order was made by consent </w:t>
      </w:r>
      <w:r w:rsidR="00414347">
        <w:rPr>
          <w:szCs w:val="24"/>
        </w:rPr>
        <w:t xml:space="preserve">prior to the hearing </w:t>
      </w:r>
      <w:r w:rsidRPr="00045383">
        <w:rPr>
          <w:szCs w:val="24"/>
        </w:rPr>
        <w:t xml:space="preserve">dismissing its appeal.  </w:t>
      </w:r>
    </w:p>
    <w:p w:rsidR="00C74A39" w:rsidRDefault="0086085B" w:rsidP="00763FDB">
      <w:pPr>
        <w:pStyle w:val="ParaLevel1"/>
      </w:pPr>
      <w:r>
        <w:t>The Appellants have been represented b</w:t>
      </w:r>
      <w:r w:rsidR="001C5397">
        <w:t xml:space="preserve">efore us </w:t>
      </w:r>
      <w:r>
        <w:t xml:space="preserve">by </w:t>
      </w:r>
      <w:r w:rsidR="001C5397">
        <w:t xml:space="preserve">Mr Daniel Stilitz QC </w:t>
      </w:r>
      <w:r w:rsidR="00470B80">
        <w:t xml:space="preserve">and </w:t>
      </w:r>
      <w:r w:rsidR="001B19BC">
        <w:t xml:space="preserve">Mr </w:t>
      </w:r>
      <w:r w:rsidR="00470B80">
        <w:t xml:space="preserve">Simon Forshaw.  </w:t>
      </w:r>
      <w:r w:rsidR="00C74A39">
        <w:t xml:space="preserve">Mr Forshaw also represented them (and IPL) in the EAT </w:t>
      </w:r>
      <w:r w:rsidR="00E752F7">
        <w:t xml:space="preserve">and in the final stage of proceedings in the ET; </w:t>
      </w:r>
      <w:r w:rsidR="00C74A39">
        <w:t xml:space="preserve">but </w:t>
      </w:r>
      <w:r w:rsidR="00470B80">
        <w:t xml:space="preserve">at the main hearing in the ET </w:t>
      </w:r>
      <w:r w:rsidR="005F0ACB">
        <w:t>they were represented by Mr Damian Brown QC</w:t>
      </w:r>
      <w:r w:rsidR="00C74A39">
        <w:t>.  Mr Bruce Carr QC has acted for the Claimant throughout.</w:t>
      </w:r>
      <w:r w:rsidR="002F61F8">
        <w:t xml:space="preserve">  Protect</w:t>
      </w:r>
      <w:r w:rsidR="00820FEB">
        <w:t xml:space="preserve"> </w:t>
      </w:r>
      <w:r w:rsidR="00C74A39">
        <w:t>has been represented by Ms Schona Jolly QC and Mr Christopher Milsom.</w:t>
      </w:r>
    </w:p>
    <w:p w:rsidR="009F05CF" w:rsidRPr="00E23C11" w:rsidRDefault="00C4792F" w:rsidP="00763FDB">
      <w:pPr>
        <w:pStyle w:val="ParaHeading"/>
        <w:rPr>
          <w:b/>
          <w:u w:val="single"/>
        </w:rPr>
      </w:pPr>
      <w:r w:rsidRPr="00E23C11">
        <w:rPr>
          <w:b/>
          <w:u w:val="single"/>
        </w:rPr>
        <w:t xml:space="preserve">THE </w:t>
      </w:r>
      <w:r w:rsidR="00CC39E3">
        <w:rPr>
          <w:b/>
          <w:u w:val="single"/>
        </w:rPr>
        <w:t>STATUTORY PROVISIONS</w:t>
      </w:r>
    </w:p>
    <w:p w:rsidR="00C4792F" w:rsidRDefault="00CC39E3" w:rsidP="00763FDB">
      <w:pPr>
        <w:pStyle w:val="ParaLevel1"/>
      </w:pPr>
      <w:r>
        <w:t xml:space="preserve">It is necessary to start with the applicable statutory provisions.  These have a complicated </w:t>
      </w:r>
      <w:r w:rsidR="00474639">
        <w:t xml:space="preserve">legislative </w:t>
      </w:r>
      <w:r w:rsidR="00AA2F89">
        <w:t>history</w:t>
      </w:r>
      <w:r w:rsidR="00F506A7">
        <w:t>, which it is necessary to understand in order to address the issues raised by the appeal</w:t>
      </w:r>
      <w:r w:rsidR="00474639">
        <w:t xml:space="preserve">.  I will accordingly trace their development </w:t>
      </w:r>
      <w:r w:rsidR="00AA2F89">
        <w:t>chronologically.</w:t>
      </w:r>
    </w:p>
    <w:p w:rsidR="00230E1A" w:rsidRPr="00230E1A" w:rsidRDefault="00230E1A" w:rsidP="00763FDB">
      <w:pPr>
        <w:pStyle w:val="ParaLevel1"/>
        <w:numPr>
          <w:ilvl w:val="0"/>
          <w:numId w:val="0"/>
        </w:numPr>
        <w:rPr>
          <w:u w:val="single"/>
        </w:rPr>
      </w:pPr>
      <w:r>
        <w:rPr>
          <w:u w:val="single"/>
        </w:rPr>
        <w:t>THE EMPLOYMENT RIGHTS ACT 1996</w:t>
      </w:r>
    </w:p>
    <w:p w:rsidR="001F14FC" w:rsidRDefault="00F04A48" w:rsidP="00763FDB">
      <w:pPr>
        <w:pStyle w:val="ParaLevel1"/>
      </w:pPr>
      <w:r>
        <w:t>Whistleblower protection is effected by provisions of the E</w:t>
      </w:r>
      <w:r w:rsidR="00D52ADC">
        <w:t xml:space="preserve">mployment Rights Act 1996 </w:t>
      </w:r>
      <w:r>
        <w:t>first introduced by</w:t>
      </w:r>
      <w:r w:rsidR="00173F60">
        <w:t xml:space="preserve"> the Public I</w:t>
      </w:r>
      <w:r>
        <w:t>nterest Disclosu</w:t>
      </w:r>
      <w:r w:rsidR="00F30EDA">
        <w:t>re Act 1998</w:t>
      </w:r>
      <w:r w:rsidR="00051A59">
        <w:t>, though some further changes were made, only a few months later, by the Employment Relations Act 1999</w:t>
      </w:r>
      <w:r w:rsidR="00F30EDA">
        <w:t xml:space="preserve">.  It will </w:t>
      </w:r>
      <w:r w:rsidR="00173F60">
        <w:t>b</w:t>
      </w:r>
      <w:r>
        <w:t xml:space="preserve">e </w:t>
      </w:r>
      <w:r w:rsidR="00173F60">
        <w:t xml:space="preserve">useful to make some points about the overall structure of the </w:t>
      </w:r>
      <w:r w:rsidR="00C96B38">
        <w:t xml:space="preserve">1996 </w:t>
      </w:r>
      <w:r w:rsidR="00173F60">
        <w:t>Act first.  Two Parts are relevant for our purposes – Part V, “Protection from Suffering Detriment in Employment”</w:t>
      </w:r>
      <w:r w:rsidR="00ED1904">
        <w:t xml:space="preserve">; and Part X, “Unfair Dismissal”.  I take them in </w:t>
      </w:r>
      <w:r w:rsidR="00D70558">
        <w:t>reverse order</w:t>
      </w:r>
      <w:r w:rsidR="00ED1904">
        <w:t>.</w:t>
      </w:r>
    </w:p>
    <w:p w:rsidR="001F14FC" w:rsidRPr="00603905" w:rsidRDefault="00603905" w:rsidP="00763FDB">
      <w:pPr>
        <w:pStyle w:val="ParaLevel1"/>
        <w:numPr>
          <w:ilvl w:val="0"/>
          <w:numId w:val="0"/>
        </w:numPr>
        <w:rPr>
          <w:u w:val="single"/>
        </w:rPr>
      </w:pPr>
      <w:r>
        <w:rPr>
          <w:u w:val="single"/>
        </w:rPr>
        <w:t>Part X</w:t>
      </w:r>
    </w:p>
    <w:p w:rsidR="00B255A6" w:rsidRDefault="00B255A6" w:rsidP="00763FDB">
      <w:pPr>
        <w:pStyle w:val="ParaLevel1"/>
      </w:pPr>
      <w:r>
        <w:t>I start by observing that t</w:t>
      </w:r>
      <w:r w:rsidR="00D70558">
        <w:t>he right not to be unfairly di</w:t>
      </w:r>
      <w:r>
        <w:t>smissed goes bac</w:t>
      </w:r>
      <w:r w:rsidR="00D70558">
        <w:t>k to the Industrial Relations Act 1971</w:t>
      </w:r>
      <w:r w:rsidR="00EC123C">
        <w:t>,</w:t>
      </w:r>
      <w:r w:rsidR="00D70558">
        <w:t xml:space="preserve"> and Part X of the 1</w:t>
      </w:r>
      <w:r>
        <w:t>996 Act is only the latest of a series of statutory embodiments of that right</w:t>
      </w:r>
      <w:r w:rsidR="00FA0D33">
        <w:t>, all in substantial</w:t>
      </w:r>
      <w:r w:rsidR="00BF5120">
        <w:t>ly</w:t>
      </w:r>
      <w:r w:rsidR="00FA0D33">
        <w:t xml:space="preserve"> similar term</w:t>
      </w:r>
      <w:r w:rsidR="00BF5120">
        <w:t>s</w:t>
      </w:r>
      <w:r>
        <w:t>.</w:t>
      </w:r>
      <w:r w:rsidR="008D7EB9">
        <w:t xml:space="preserve">  The key provisions to note are as follows.</w:t>
      </w:r>
    </w:p>
    <w:p w:rsidR="005268F0" w:rsidRDefault="00603905" w:rsidP="00763FDB">
      <w:pPr>
        <w:pStyle w:val="ParaLevel1"/>
      </w:pPr>
      <w:r>
        <w:t>S</w:t>
      </w:r>
      <w:r w:rsidR="005268F0">
        <w:t>ection 94 (1) provides</w:t>
      </w:r>
      <w:r w:rsidR="005A7F37">
        <w:t xml:space="preserve"> for the basic right not to be unfairly dismissed, as follows</w:t>
      </w:r>
      <w:r w:rsidR="005268F0">
        <w:t>:</w:t>
      </w:r>
    </w:p>
    <w:p w:rsidR="00586DED" w:rsidRPr="00586DED" w:rsidRDefault="00586DED" w:rsidP="00763FDB">
      <w:pPr>
        <w:pStyle w:val="ParaLevel1"/>
        <w:numPr>
          <w:ilvl w:val="0"/>
          <w:numId w:val="0"/>
        </w:numPr>
        <w:ind w:left="1418" w:right="793"/>
        <w:rPr>
          <w:rFonts w:ascii="Times" w:hAnsi="Times"/>
          <w:sz w:val="20"/>
        </w:rPr>
      </w:pPr>
      <w:r>
        <w:rPr>
          <w:shd w:val="clear" w:color="auto" w:fill="FFFFFF"/>
        </w:rPr>
        <w:t>“</w:t>
      </w:r>
      <w:r w:rsidRPr="00586DED">
        <w:rPr>
          <w:shd w:val="clear" w:color="auto" w:fill="FFFFFF"/>
        </w:rPr>
        <w:t>An employee has the right not to be unfairly dismissed by his employer.</w:t>
      </w:r>
      <w:r w:rsidR="00B367DB">
        <w:rPr>
          <w:shd w:val="clear" w:color="auto" w:fill="FFFFFF"/>
        </w:rPr>
        <w:t>”</w:t>
      </w:r>
    </w:p>
    <w:p w:rsidR="00315B4E" w:rsidRPr="00C422AB" w:rsidRDefault="00D26B8E" w:rsidP="00763FDB">
      <w:pPr>
        <w:pStyle w:val="ParaLevel1"/>
        <w:numPr>
          <w:ilvl w:val="0"/>
          <w:numId w:val="0"/>
        </w:numPr>
        <w:ind w:left="720"/>
      </w:pPr>
      <w:r>
        <w:t>“Employee” is defined by section 230 (1) and (2) of the Act in the narrow sense of a person employed under a contract of service.</w:t>
      </w:r>
      <w:r w:rsidR="00583966">
        <w:t xml:space="preserve">  </w:t>
      </w:r>
      <w:r w:rsidR="00315B4E">
        <w:t xml:space="preserve">Section 95 </w:t>
      </w:r>
      <w:r w:rsidR="00C422AB">
        <w:t xml:space="preserve">is headed </w:t>
      </w:r>
      <w:r w:rsidR="00287FA9" w:rsidRPr="00C422AB">
        <w:rPr>
          <w:color w:val="000000"/>
          <w:szCs w:val="24"/>
        </w:rPr>
        <w:t xml:space="preserve">“Circumstances in which an employee is dismissed”. </w:t>
      </w:r>
      <w:r w:rsidR="00A50712" w:rsidRPr="00C422AB">
        <w:rPr>
          <w:color w:val="000000"/>
          <w:szCs w:val="24"/>
        </w:rPr>
        <w:t xml:space="preserve"> </w:t>
      </w:r>
      <w:r w:rsidR="00315B4E" w:rsidRPr="00C422AB">
        <w:rPr>
          <w:szCs w:val="24"/>
        </w:rPr>
        <w:t>I need only set out sub-section (1), which reads:</w:t>
      </w:r>
    </w:p>
    <w:p w:rsidR="00A50712" w:rsidRDefault="00A50712" w:rsidP="00763FDB">
      <w:pPr>
        <w:pStyle w:val="NormalWeb"/>
        <w:shd w:val="clear" w:color="auto" w:fill="FFFFFF"/>
        <w:spacing w:before="0" w:beforeAutospacing="0" w:after="0" w:afterAutospacing="0"/>
        <w:rPr>
          <w:rFonts w:ascii="Verdana" w:hAnsi="Verdana"/>
          <w:color w:val="000000"/>
          <w:sz w:val="19"/>
          <w:szCs w:val="19"/>
        </w:rPr>
      </w:pPr>
    </w:p>
    <w:p w:rsidR="00315B4E" w:rsidRPr="00FB240D" w:rsidRDefault="00A50712" w:rsidP="00763FDB">
      <w:pPr>
        <w:pStyle w:val="NormalWeb"/>
        <w:shd w:val="clear" w:color="auto" w:fill="FFFFFF"/>
        <w:spacing w:before="0" w:beforeAutospacing="0" w:after="0" w:afterAutospacing="0"/>
        <w:ind w:left="1418" w:right="828"/>
        <w:jc w:val="both"/>
        <w:rPr>
          <w:rFonts w:ascii="Times New Roman" w:hAnsi="Times New Roman"/>
          <w:color w:val="000000"/>
          <w:sz w:val="24"/>
          <w:szCs w:val="24"/>
        </w:rPr>
      </w:pPr>
      <w:r w:rsidRPr="00FB240D">
        <w:rPr>
          <w:rFonts w:ascii="Times New Roman" w:hAnsi="Times New Roman"/>
          <w:color w:val="000000"/>
          <w:sz w:val="24"/>
          <w:szCs w:val="24"/>
        </w:rPr>
        <w:t>“</w:t>
      </w:r>
      <w:r w:rsidR="00315B4E" w:rsidRPr="00FB240D">
        <w:rPr>
          <w:rFonts w:ascii="Times New Roman" w:hAnsi="Times New Roman"/>
          <w:color w:val="000000"/>
          <w:sz w:val="24"/>
          <w:szCs w:val="24"/>
        </w:rPr>
        <w:t>For the purposes of this Part an employee is dismissed by his employer if (and, subject to subsection (2), only if)—</w:t>
      </w:r>
    </w:p>
    <w:p w:rsidR="00FB240D" w:rsidRPr="00FB240D" w:rsidRDefault="00FB240D" w:rsidP="00763FDB">
      <w:pPr>
        <w:pStyle w:val="NormalWeb"/>
        <w:shd w:val="clear" w:color="auto" w:fill="FFFFFF"/>
        <w:spacing w:before="0" w:beforeAutospacing="0" w:after="0" w:afterAutospacing="0"/>
        <w:ind w:left="1418" w:right="828"/>
        <w:jc w:val="both"/>
        <w:rPr>
          <w:rFonts w:ascii="Times New Roman" w:hAnsi="Times New Roman"/>
          <w:color w:val="000000"/>
          <w:sz w:val="24"/>
          <w:szCs w:val="24"/>
        </w:rPr>
      </w:pPr>
    </w:p>
    <w:p w:rsidR="00315B4E" w:rsidRPr="00FB240D" w:rsidRDefault="00315B4E" w:rsidP="00763FDB">
      <w:pPr>
        <w:pStyle w:val="NormalWeb"/>
        <w:shd w:val="clear" w:color="auto" w:fill="FFFFFF"/>
        <w:spacing w:before="0" w:beforeAutospacing="0" w:after="0" w:afterAutospacing="0"/>
        <w:ind w:left="1985" w:right="828" w:hanging="567"/>
        <w:jc w:val="both"/>
        <w:rPr>
          <w:rFonts w:ascii="Times New Roman" w:hAnsi="Times New Roman"/>
          <w:color w:val="000000"/>
          <w:sz w:val="24"/>
          <w:szCs w:val="24"/>
        </w:rPr>
      </w:pPr>
      <w:r w:rsidRPr="00FB240D">
        <w:rPr>
          <w:rFonts w:ascii="Times New Roman" w:hAnsi="Times New Roman"/>
          <w:color w:val="000000"/>
          <w:sz w:val="24"/>
          <w:szCs w:val="24"/>
        </w:rPr>
        <w:t xml:space="preserve">(a) </w:t>
      </w:r>
      <w:r w:rsidR="00294E5E">
        <w:rPr>
          <w:rFonts w:ascii="Times New Roman" w:hAnsi="Times New Roman"/>
          <w:color w:val="000000"/>
          <w:sz w:val="24"/>
          <w:szCs w:val="24"/>
        </w:rPr>
        <w:tab/>
      </w:r>
      <w:r w:rsidRPr="00FB240D">
        <w:rPr>
          <w:rFonts w:ascii="Times New Roman" w:hAnsi="Times New Roman"/>
          <w:color w:val="000000"/>
          <w:sz w:val="24"/>
          <w:szCs w:val="24"/>
        </w:rPr>
        <w:t>the contract under which he is employed is terminated by the employer (whether with or without notice),</w:t>
      </w:r>
    </w:p>
    <w:p w:rsidR="00FB240D" w:rsidRPr="00FB240D" w:rsidRDefault="00FB240D" w:rsidP="00763FDB">
      <w:pPr>
        <w:pStyle w:val="NormalWeb"/>
        <w:shd w:val="clear" w:color="auto" w:fill="FFFFFF"/>
        <w:spacing w:before="0" w:beforeAutospacing="0" w:after="0" w:afterAutospacing="0"/>
        <w:ind w:left="1985" w:right="828" w:hanging="567"/>
        <w:jc w:val="both"/>
        <w:rPr>
          <w:rFonts w:ascii="Times New Roman" w:hAnsi="Times New Roman"/>
          <w:color w:val="000000"/>
          <w:sz w:val="24"/>
          <w:szCs w:val="24"/>
        </w:rPr>
      </w:pPr>
    </w:p>
    <w:p w:rsidR="00315B4E" w:rsidRPr="00FB240D" w:rsidRDefault="00315B4E" w:rsidP="00763FDB">
      <w:pPr>
        <w:pStyle w:val="NormalWeb"/>
        <w:shd w:val="clear" w:color="auto" w:fill="FFFFFF"/>
        <w:spacing w:before="0" w:beforeAutospacing="0" w:after="0" w:afterAutospacing="0"/>
        <w:ind w:left="1985" w:right="828" w:hanging="567"/>
        <w:jc w:val="both"/>
        <w:rPr>
          <w:rFonts w:ascii="Times New Roman" w:hAnsi="Times New Roman"/>
          <w:color w:val="000000"/>
          <w:sz w:val="24"/>
          <w:szCs w:val="24"/>
        </w:rPr>
      </w:pPr>
      <w:r w:rsidRPr="00FB240D">
        <w:rPr>
          <w:rFonts w:ascii="Times New Roman" w:hAnsi="Times New Roman"/>
          <w:color w:val="000000"/>
          <w:sz w:val="24"/>
          <w:szCs w:val="24"/>
        </w:rPr>
        <w:t xml:space="preserve">(b) </w:t>
      </w:r>
      <w:r w:rsidR="00294E5E">
        <w:rPr>
          <w:rFonts w:ascii="Times New Roman" w:hAnsi="Times New Roman"/>
          <w:color w:val="000000"/>
          <w:sz w:val="24"/>
          <w:szCs w:val="24"/>
        </w:rPr>
        <w:tab/>
      </w:r>
      <w:r w:rsidRPr="00FB240D">
        <w:rPr>
          <w:rFonts w:ascii="Times New Roman" w:hAnsi="Times New Roman"/>
          <w:color w:val="000000"/>
          <w:sz w:val="24"/>
          <w:szCs w:val="24"/>
        </w:rPr>
        <w:t>he is employed under a limited-term contract and that contract terminates by virtue of the limiting event without being renewed under the same contract, or</w:t>
      </w:r>
    </w:p>
    <w:p w:rsidR="00FB240D" w:rsidRPr="00FB240D" w:rsidRDefault="00FB240D" w:rsidP="00763FDB">
      <w:pPr>
        <w:pStyle w:val="NormalWeb"/>
        <w:shd w:val="clear" w:color="auto" w:fill="FFFFFF"/>
        <w:spacing w:before="0" w:beforeAutospacing="0" w:after="0" w:afterAutospacing="0"/>
        <w:ind w:left="1985" w:right="828" w:hanging="567"/>
        <w:jc w:val="both"/>
        <w:rPr>
          <w:rFonts w:ascii="Times New Roman" w:hAnsi="Times New Roman"/>
          <w:color w:val="000000"/>
          <w:sz w:val="24"/>
          <w:szCs w:val="24"/>
        </w:rPr>
      </w:pPr>
    </w:p>
    <w:p w:rsidR="00583966" w:rsidRPr="00294E5E" w:rsidRDefault="00315B4E" w:rsidP="00763FDB">
      <w:pPr>
        <w:pStyle w:val="NormalWeb"/>
        <w:shd w:val="clear" w:color="auto" w:fill="FFFFFF"/>
        <w:spacing w:before="0" w:beforeAutospacing="0" w:after="0" w:afterAutospacing="0"/>
        <w:ind w:left="1985" w:right="828" w:hanging="567"/>
        <w:jc w:val="both"/>
        <w:rPr>
          <w:rFonts w:ascii="Verdana" w:hAnsi="Verdana"/>
          <w:color w:val="000000"/>
          <w:sz w:val="19"/>
          <w:szCs w:val="19"/>
        </w:rPr>
      </w:pPr>
      <w:r w:rsidRPr="00FB240D">
        <w:rPr>
          <w:rFonts w:ascii="Times New Roman" w:hAnsi="Times New Roman"/>
          <w:color w:val="000000"/>
          <w:sz w:val="24"/>
          <w:szCs w:val="24"/>
        </w:rPr>
        <w:t xml:space="preserve">(c) </w:t>
      </w:r>
      <w:r w:rsidR="00294E5E">
        <w:rPr>
          <w:rFonts w:ascii="Times New Roman" w:hAnsi="Times New Roman"/>
          <w:color w:val="000000"/>
          <w:sz w:val="24"/>
          <w:szCs w:val="24"/>
        </w:rPr>
        <w:tab/>
      </w:r>
      <w:r w:rsidRPr="00FB240D">
        <w:rPr>
          <w:rFonts w:ascii="Times New Roman" w:hAnsi="Times New Roman"/>
          <w:color w:val="000000"/>
          <w:sz w:val="24"/>
          <w:szCs w:val="24"/>
        </w:rPr>
        <w:t>the employee terminates the contract under which he is employed (with or without notice) in circumstances in which he is entitled to terminate it without notice by reason of the employer's conduct</w:t>
      </w:r>
      <w:r w:rsidR="00294E5E">
        <w:rPr>
          <w:rFonts w:ascii="Verdana" w:hAnsi="Verdana"/>
          <w:color w:val="000000"/>
          <w:sz w:val="19"/>
          <w:szCs w:val="19"/>
        </w:rPr>
        <w:t>.</w:t>
      </w:r>
      <w:r w:rsidR="00294E5E" w:rsidRPr="00294E5E">
        <w:rPr>
          <w:rFonts w:ascii="Times New Roman" w:hAnsi="Times New Roman"/>
          <w:color w:val="000000"/>
          <w:sz w:val="24"/>
          <w:szCs w:val="24"/>
        </w:rPr>
        <w:t>”</w:t>
      </w:r>
      <w:r w:rsidR="00D26B8E">
        <w:t xml:space="preserve"> </w:t>
      </w:r>
    </w:p>
    <w:p w:rsidR="00FA0D33" w:rsidRDefault="00583966" w:rsidP="00763FDB">
      <w:pPr>
        <w:pStyle w:val="ParaNoNumber"/>
        <w:ind w:left="720"/>
      </w:pPr>
      <w:r>
        <w:t xml:space="preserve">Section 98 sets out the well-known test of unfairness applicable in the ordinary case.  </w:t>
      </w:r>
    </w:p>
    <w:p w:rsidR="00627C2E" w:rsidRDefault="005A7F37" w:rsidP="00763FDB">
      <w:pPr>
        <w:pStyle w:val="ParaLevel1"/>
      </w:pPr>
      <w:r>
        <w:t>There follow a series of sections – originally sections 99-105, but since added to and given the heading “Other Dismissals” – which provide for a dismissal to be automatically unfair where the</w:t>
      </w:r>
      <w:r w:rsidR="0075200B">
        <w:t xml:space="preserve"> reason (or principal reason) i</w:t>
      </w:r>
      <w:r>
        <w:t>s</w:t>
      </w:r>
      <w:r w:rsidR="008D7EB9">
        <w:t xml:space="preserve"> one</w:t>
      </w:r>
      <w:r w:rsidR="00A248FA">
        <w:t xml:space="preserve"> against</w:t>
      </w:r>
      <w:r w:rsidR="008D7EB9">
        <w:t xml:space="preserve"> </w:t>
      </w:r>
      <w:r w:rsidR="00B1412D">
        <w:t xml:space="preserve">which </w:t>
      </w:r>
      <w:r w:rsidR="00A248FA">
        <w:t>p</w:t>
      </w:r>
      <w:r w:rsidR="00361490">
        <w:t>articular</w:t>
      </w:r>
      <w:r w:rsidR="00B1412D">
        <w:t xml:space="preserve"> protection</w:t>
      </w:r>
      <w:r w:rsidR="00A248FA">
        <w:t xml:space="preserve"> is regarded as necessary</w:t>
      </w:r>
      <w:r w:rsidR="0075200B">
        <w:t xml:space="preserve">.  </w:t>
      </w:r>
      <w:r w:rsidR="00A248FA">
        <w:t>I will refer to such reasons as</w:t>
      </w:r>
      <w:r w:rsidR="00B64310">
        <w:t xml:space="preserve"> “proscribed grounds”</w:t>
      </w:r>
      <w:r>
        <w:t xml:space="preserve">.  </w:t>
      </w:r>
    </w:p>
    <w:p w:rsidR="00627C2E" w:rsidRDefault="00627C2E" w:rsidP="00763FDB">
      <w:pPr>
        <w:pStyle w:val="ParaLevel1"/>
      </w:pPr>
      <w:r>
        <w:t>S</w:t>
      </w:r>
      <w:r w:rsidR="005A7F37">
        <w:t>ection 108 requires employees to have a minimum qua</w:t>
      </w:r>
      <w:r w:rsidR="002A0176">
        <w:t>lifying period before they can</w:t>
      </w:r>
      <w:r w:rsidR="005A7F37">
        <w:t xml:space="preserve"> bring an unfair dismissal claim</w:t>
      </w:r>
      <w:r w:rsidR="002A0176">
        <w:t>, though, as will appear, that is disapplied in case</w:t>
      </w:r>
      <w:r w:rsidR="00A248FA">
        <w:t>s of dismissal on proscribed grounds</w:t>
      </w:r>
      <w:r w:rsidR="005A7F37">
        <w:t xml:space="preserve">.  </w:t>
      </w:r>
    </w:p>
    <w:p w:rsidR="00420BAD" w:rsidRDefault="005A7F37" w:rsidP="00763FDB">
      <w:pPr>
        <w:pStyle w:val="ParaLevel1"/>
      </w:pPr>
      <w:r>
        <w:t xml:space="preserve">Sections 111-134 (Chapter II) deal with </w:t>
      </w:r>
      <w:r w:rsidR="00500ACD">
        <w:t>enforcement</w:t>
      </w:r>
      <w:r>
        <w:t xml:space="preserve">.  </w:t>
      </w:r>
      <w:r w:rsidR="00C53A8A">
        <w:t>S</w:t>
      </w:r>
      <w:r w:rsidR="002A0176">
        <w:t xml:space="preserve">ection </w:t>
      </w:r>
      <w:r w:rsidR="00F834BF">
        <w:t xml:space="preserve">112 </w:t>
      </w:r>
      <w:r w:rsidR="00C53A8A">
        <w:t xml:space="preserve">provides for two different kinds of remedy – </w:t>
      </w:r>
      <w:r w:rsidR="00C053B6">
        <w:t>reinstatement or re-engagement</w:t>
      </w:r>
      <w:r>
        <w:t xml:space="preserve"> </w:t>
      </w:r>
      <w:r w:rsidR="00FC7DBD">
        <w:t>(under sections 113</w:t>
      </w:r>
      <w:r w:rsidR="00FA0D33">
        <w:t>, elaborated</w:t>
      </w:r>
      <w:r w:rsidR="005F11C2">
        <w:t xml:space="preserve"> in sections 114-</w:t>
      </w:r>
      <w:r w:rsidR="00FC7DBD">
        <w:t>117),</w:t>
      </w:r>
      <w:r w:rsidR="00C25A46">
        <w:t xml:space="preserve"> or compensation (under section</w:t>
      </w:r>
      <w:r w:rsidR="00FC7DBD">
        <w:t xml:space="preserve"> 118</w:t>
      </w:r>
      <w:r w:rsidR="00FA0D33">
        <w:t>, elaborat</w:t>
      </w:r>
      <w:r w:rsidR="00C25A46">
        <w:t>ed in sections 119</w:t>
      </w:r>
      <w:r w:rsidR="00030A32">
        <w:t xml:space="preserve">-127).  Formally, reinstatement </w:t>
      </w:r>
      <w:r w:rsidR="00C25A46">
        <w:t>or</w:t>
      </w:r>
      <w:r w:rsidR="00030A32">
        <w:t xml:space="preserve"> re-engagement are the primary remedies, in the sense that the tribunal </w:t>
      </w:r>
      <w:r w:rsidR="005F11C2">
        <w:t xml:space="preserve">can only make an award of compensation where it has decided not to make </w:t>
      </w:r>
      <w:r w:rsidR="00F0604D">
        <w:t>an order under section 113</w:t>
      </w:r>
      <w:r w:rsidR="00C25A46">
        <w:t>.</w:t>
      </w:r>
    </w:p>
    <w:p w:rsidR="000D62A8" w:rsidRDefault="00F0604D" w:rsidP="00763FDB">
      <w:pPr>
        <w:pStyle w:val="ParaLevel1"/>
      </w:pPr>
      <w:r>
        <w:t>S</w:t>
      </w:r>
      <w:r w:rsidR="005A7F37">
        <w:t>ection 118 provides that compensation for unfair dismissal shall take the form of a basic award (calculated in accordance with sections 119-122) and a compensatory award (calculated in accordance with sections 123, 124, 126 and 127).</w:t>
      </w:r>
      <w:r w:rsidR="005A715C">
        <w:t xml:space="preserve">  </w:t>
      </w:r>
      <w:r w:rsidR="000D62A8">
        <w:t>I should set out the terms of section 123 (1)-(2), which contain the basic principles governing the amount of a compensatory award</w:t>
      </w:r>
      <w:r w:rsidR="00463E7C">
        <w:t>, together with</w:t>
      </w:r>
      <w:r w:rsidR="0019019B">
        <w:t xml:space="preserve"> sub-sections (4) and (6)</w:t>
      </w:r>
      <w:r w:rsidR="000D62A8">
        <w:t>:</w:t>
      </w:r>
    </w:p>
    <w:p w:rsidR="000D62A8" w:rsidRDefault="000D62A8" w:rsidP="00763FDB">
      <w:pPr>
        <w:pStyle w:val="NormalWeb"/>
        <w:shd w:val="clear" w:color="auto" w:fill="FFFFFF"/>
        <w:spacing w:before="0" w:beforeAutospacing="0" w:after="0" w:afterAutospacing="0"/>
        <w:ind w:left="1418" w:right="793"/>
        <w:jc w:val="both"/>
        <w:rPr>
          <w:rFonts w:ascii="Times New Roman" w:hAnsi="Times New Roman"/>
          <w:color w:val="000000"/>
          <w:sz w:val="24"/>
          <w:szCs w:val="24"/>
        </w:rPr>
      </w:pPr>
      <w:r>
        <w:rPr>
          <w:rFonts w:ascii="Times New Roman" w:hAnsi="Times New Roman"/>
          <w:color w:val="000000"/>
          <w:sz w:val="24"/>
          <w:szCs w:val="24"/>
        </w:rPr>
        <w:t>“</w:t>
      </w:r>
      <w:r w:rsidRPr="00C52763">
        <w:rPr>
          <w:rFonts w:ascii="Times New Roman" w:hAnsi="Times New Roman"/>
          <w:color w:val="000000"/>
          <w:sz w:val="24"/>
          <w:szCs w:val="24"/>
        </w:rPr>
        <w:t xml:space="preserve">(1) Subject to the </w:t>
      </w:r>
      <w:r>
        <w:rPr>
          <w:rFonts w:ascii="Times New Roman" w:hAnsi="Times New Roman"/>
          <w:color w:val="000000"/>
          <w:sz w:val="24"/>
          <w:szCs w:val="24"/>
        </w:rPr>
        <w:t xml:space="preserve">provisions of this section and </w:t>
      </w:r>
      <w:r w:rsidRPr="00AE2463">
        <w:rPr>
          <w:rFonts w:ascii="Times New Roman" w:hAnsi="Times New Roman"/>
          <w:color w:val="000000"/>
          <w:sz w:val="24"/>
          <w:szCs w:val="24"/>
        </w:rPr>
        <w:t>sections 124</w:t>
      </w:r>
      <w:r w:rsidRPr="00C52763">
        <w:rPr>
          <w:rFonts w:ascii="Times New Roman" w:hAnsi="Times New Roman"/>
          <w:color w:val="000000"/>
          <w:sz w:val="24"/>
          <w:szCs w:val="24"/>
        </w:rPr>
        <w:t>, </w:t>
      </w:r>
      <w:r w:rsidRPr="00AE2463">
        <w:rPr>
          <w:rFonts w:ascii="Times New Roman" w:hAnsi="Times New Roman"/>
          <w:color w:val="000000"/>
          <w:sz w:val="24"/>
          <w:szCs w:val="24"/>
        </w:rPr>
        <w:t>124A</w:t>
      </w:r>
      <w:r>
        <w:rPr>
          <w:rFonts w:ascii="Times New Roman" w:hAnsi="Times New Roman"/>
          <w:color w:val="000000"/>
          <w:sz w:val="24"/>
          <w:szCs w:val="24"/>
        </w:rPr>
        <w:t> </w:t>
      </w:r>
      <w:r w:rsidRPr="00C52763">
        <w:rPr>
          <w:rFonts w:ascii="Times New Roman" w:hAnsi="Times New Roman"/>
          <w:color w:val="000000"/>
          <w:sz w:val="24"/>
          <w:szCs w:val="24"/>
        </w:rPr>
        <w:t>and </w:t>
      </w:r>
      <w:r w:rsidRPr="00AE2463">
        <w:rPr>
          <w:rFonts w:ascii="Times New Roman" w:hAnsi="Times New Roman"/>
          <w:color w:val="000000"/>
          <w:sz w:val="24"/>
          <w:szCs w:val="24"/>
        </w:rPr>
        <w:t>126</w:t>
      </w:r>
      <w:r w:rsidRPr="00C52763">
        <w:rPr>
          <w:rFonts w:ascii="Times New Roman" w:hAnsi="Times New Roman"/>
          <w:color w:val="000000"/>
          <w:sz w:val="24"/>
          <w:szCs w:val="24"/>
        </w:rPr>
        <w:t xml:space="preserve"> the amount of the compensatory award shall be such amount as the tribunal considers just and equitable in all the circumstances having regard to the loss sustained by the complainant in consequence of the dismissal in so far as that loss is attributable to action taken by the employer.</w:t>
      </w:r>
    </w:p>
    <w:p w:rsidR="000D62A8" w:rsidRPr="00C52763" w:rsidRDefault="000D62A8" w:rsidP="00763FDB">
      <w:pPr>
        <w:pStyle w:val="NormalWeb"/>
        <w:shd w:val="clear" w:color="auto" w:fill="FFFFFF"/>
        <w:spacing w:before="0" w:beforeAutospacing="0" w:after="0" w:afterAutospacing="0"/>
        <w:ind w:left="1418" w:right="793"/>
        <w:jc w:val="both"/>
        <w:rPr>
          <w:rFonts w:ascii="Times New Roman" w:hAnsi="Times New Roman"/>
          <w:color w:val="000000"/>
          <w:sz w:val="24"/>
          <w:szCs w:val="24"/>
        </w:rPr>
      </w:pPr>
    </w:p>
    <w:p w:rsidR="000D62A8" w:rsidRDefault="000D62A8" w:rsidP="00A248FA">
      <w:pPr>
        <w:pStyle w:val="NormalWeb"/>
        <w:shd w:val="clear" w:color="auto" w:fill="FFFFFF"/>
        <w:spacing w:before="0" w:beforeAutospacing="0" w:after="0" w:afterAutospacing="0"/>
        <w:ind w:left="1985" w:right="793" w:hanging="567"/>
        <w:jc w:val="both"/>
        <w:rPr>
          <w:rFonts w:ascii="Times New Roman" w:hAnsi="Times New Roman"/>
          <w:color w:val="000000"/>
          <w:sz w:val="24"/>
          <w:szCs w:val="24"/>
        </w:rPr>
      </w:pPr>
      <w:r w:rsidRPr="00C52763">
        <w:rPr>
          <w:rFonts w:ascii="Times New Roman" w:hAnsi="Times New Roman"/>
          <w:color w:val="000000"/>
          <w:sz w:val="24"/>
          <w:szCs w:val="24"/>
        </w:rPr>
        <w:t xml:space="preserve">(2) </w:t>
      </w:r>
      <w:r w:rsidR="00A248FA">
        <w:rPr>
          <w:rFonts w:ascii="Times New Roman" w:hAnsi="Times New Roman"/>
          <w:color w:val="000000"/>
          <w:sz w:val="24"/>
          <w:szCs w:val="24"/>
        </w:rPr>
        <w:tab/>
      </w:r>
      <w:r w:rsidRPr="00C52763">
        <w:rPr>
          <w:rFonts w:ascii="Times New Roman" w:hAnsi="Times New Roman"/>
          <w:color w:val="000000"/>
          <w:sz w:val="24"/>
          <w:szCs w:val="24"/>
        </w:rPr>
        <w:t>The loss referred to in subsection (1) shall be taken to include—</w:t>
      </w:r>
    </w:p>
    <w:p w:rsidR="000D62A8" w:rsidRPr="00C52763" w:rsidRDefault="000D62A8" w:rsidP="00763FDB">
      <w:pPr>
        <w:pStyle w:val="NormalWeb"/>
        <w:shd w:val="clear" w:color="auto" w:fill="FFFFFF"/>
        <w:spacing w:before="0" w:beforeAutospacing="0" w:after="0" w:afterAutospacing="0"/>
        <w:ind w:left="1418" w:right="793"/>
        <w:jc w:val="both"/>
        <w:rPr>
          <w:rFonts w:ascii="Times New Roman" w:hAnsi="Times New Roman"/>
          <w:color w:val="000000"/>
          <w:sz w:val="24"/>
          <w:szCs w:val="24"/>
        </w:rPr>
      </w:pPr>
    </w:p>
    <w:p w:rsidR="000D62A8" w:rsidRPr="00C52763" w:rsidRDefault="000D62A8" w:rsidP="00763FDB">
      <w:pPr>
        <w:pStyle w:val="NormalWeb"/>
        <w:shd w:val="clear" w:color="auto" w:fill="FFFFFF"/>
        <w:spacing w:before="0" w:beforeAutospacing="0" w:after="0" w:afterAutospacing="0"/>
        <w:ind w:left="1985" w:right="794" w:hanging="567"/>
        <w:jc w:val="both"/>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z w:val="24"/>
          <w:szCs w:val="24"/>
        </w:rPr>
        <w:tab/>
      </w:r>
      <w:r w:rsidRPr="00C52763">
        <w:rPr>
          <w:rFonts w:ascii="Times New Roman" w:hAnsi="Times New Roman"/>
          <w:color w:val="000000"/>
          <w:sz w:val="24"/>
          <w:szCs w:val="24"/>
        </w:rPr>
        <w:t>any expenses reasonably incurred by the complainant in consequence of the dismissal, and</w:t>
      </w:r>
    </w:p>
    <w:p w:rsidR="0019019B" w:rsidRDefault="000D62A8" w:rsidP="00763FDB">
      <w:pPr>
        <w:pStyle w:val="ParaLevel1"/>
        <w:numPr>
          <w:ilvl w:val="0"/>
          <w:numId w:val="0"/>
        </w:numPr>
        <w:ind w:left="1985" w:right="794" w:hanging="567"/>
        <w:rPr>
          <w:color w:val="000000"/>
          <w:szCs w:val="24"/>
        </w:rPr>
      </w:pPr>
      <w:r>
        <w:rPr>
          <w:color w:val="000000"/>
          <w:szCs w:val="24"/>
        </w:rPr>
        <w:t>(b)</w:t>
      </w:r>
      <w:r>
        <w:rPr>
          <w:color w:val="000000"/>
          <w:szCs w:val="24"/>
        </w:rPr>
        <w:tab/>
      </w:r>
      <w:r w:rsidRPr="00C52763">
        <w:rPr>
          <w:color w:val="000000"/>
          <w:szCs w:val="24"/>
        </w:rPr>
        <w:t>subject to subsection (3), loss of any benefit which he might reasonably be expected to have had but for the dismissal.</w:t>
      </w:r>
    </w:p>
    <w:p w:rsidR="0019019B" w:rsidRDefault="0019019B" w:rsidP="00763FDB">
      <w:pPr>
        <w:pStyle w:val="ParaLevel1"/>
        <w:numPr>
          <w:ilvl w:val="0"/>
          <w:numId w:val="0"/>
        </w:numPr>
        <w:ind w:left="1985" w:right="794" w:hanging="567"/>
        <w:rPr>
          <w:color w:val="000000"/>
          <w:szCs w:val="24"/>
        </w:rPr>
      </w:pPr>
      <w:r>
        <w:rPr>
          <w:color w:val="000000"/>
          <w:szCs w:val="24"/>
        </w:rPr>
        <w:t>(3)</w:t>
      </w:r>
      <w:r>
        <w:rPr>
          <w:color w:val="000000"/>
          <w:szCs w:val="24"/>
        </w:rPr>
        <w:tab/>
        <w:t>…</w:t>
      </w:r>
    </w:p>
    <w:p w:rsidR="00463E7C" w:rsidRDefault="0019019B" w:rsidP="00A248FA">
      <w:pPr>
        <w:pStyle w:val="ParaLevel1"/>
        <w:numPr>
          <w:ilvl w:val="0"/>
          <w:numId w:val="0"/>
        </w:numPr>
        <w:tabs>
          <w:tab w:val="left" w:pos="1843"/>
          <w:tab w:val="left" w:pos="1985"/>
        </w:tabs>
        <w:ind w:left="1418" w:right="794"/>
        <w:rPr>
          <w:color w:val="000000"/>
          <w:shd w:val="clear" w:color="auto" w:fill="FFFFFF"/>
        </w:rPr>
      </w:pPr>
      <w:r>
        <w:rPr>
          <w:color w:val="000000"/>
          <w:szCs w:val="24"/>
        </w:rPr>
        <w:t>(4)</w:t>
      </w:r>
      <w:r>
        <w:rPr>
          <w:color w:val="000000"/>
          <w:szCs w:val="24"/>
        </w:rPr>
        <w:tab/>
      </w:r>
      <w:r w:rsidR="00A248FA">
        <w:rPr>
          <w:color w:val="000000"/>
          <w:szCs w:val="24"/>
        </w:rPr>
        <w:tab/>
      </w:r>
      <w:r w:rsidR="007E1371" w:rsidRPr="0019019B">
        <w:rPr>
          <w:color w:val="000000"/>
          <w:shd w:val="clear" w:color="auto" w:fill="FFFFFF"/>
        </w:rPr>
        <w:t>In ascertaining the loss referred to in subsection (1) the tribunal shall apply the same rule concerning the duty of a person to mitigate his loss as applies to damages recoverable under the common law of England and Wales or (as the case may be) Scotland.</w:t>
      </w:r>
    </w:p>
    <w:p w:rsidR="004711EA" w:rsidRDefault="00463E7C" w:rsidP="00763FDB">
      <w:pPr>
        <w:pStyle w:val="ParaLevel1"/>
        <w:numPr>
          <w:ilvl w:val="0"/>
          <w:numId w:val="0"/>
        </w:numPr>
        <w:ind w:left="1985" w:right="794" w:hanging="567"/>
        <w:rPr>
          <w:color w:val="000000"/>
          <w:shd w:val="clear" w:color="auto" w:fill="FFFFFF"/>
        </w:rPr>
      </w:pPr>
      <w:r>
        <w:rPr>
          <w:color w:val="000000"/>
          <w:shd w:val="clear" w:color="auto" w:fill="FFFFFF"/>
        </w:rPr>
        <w:t>(5)</w:t>
      </w:r>
      <w:r>
        <w:rPr>
          <w:color w:val="000000"/>
          <w:shd w:val="clear" w:color="auto" w:fill="FFFFFF"/>
        </w:rPr>
        <w:tab/>
        <w:t>…</w:t>
      </w:r>
    </w:p>
    <w:p w:rsidR="00DA5E92" w:rsidRPr="008020FA" w:rsidRDefault="00463E7C" w:rsidP="00A248FA">
      <w:pPr>
        <w:pStyle w:val="ParaLevel1"/>
        <w:numPr>
          <w:ilvl w:val="0"/>
          <w:numId w:val="0"/>
        </w:numPr>
        <w:tabs>
          <w:tab w:val="left" w:pos="1985"/>
        </w:tabs>
        <w:ind w:left="1418" w:right="794"/>
        <w:rPr>
          <w:color w:val="000000"/>
          <w:shd w:val="clear" w:color="auto" w:fill="FFFFFF"/>
        </w:rPr>
      </w:pPr>
      <w:r>
        <w:rPr>
          <w:color w:val="000000"/>
          <w:shd w:val="clear" w:color="auto" w:fill="FFFFFF"/>
        </w:rPr>
        <w:t>(6)</w:t>
      </w:r>
      <w:r w:rsidR="00A248FA">
        <w:rPr>
          <w:color w:val="000000"/>
          <w:shd w:val="clear" w:color="auto" w:fill="FFFFFF"/>
        </w:rPr>
        <w:tab/>
      </w:r>
      <w:r w:rsidR="009A5FE5" w:rsidRPr="009A5FE5">
        <w:rPr>
          <w:color w:val="000000"/>
          <w:shd w:val="clear" w:color="auto" w:fill="FFFFFF"/>
        </w:rPr>
        <w:t>Where the tribunal finds that the dismissal was to any extent caused or contributed to by any action of the complainant, it shall reduce the amount of the compensatory award by such proportion as it considers just and equitable having regard to that finding</w:t>
      </w:r>
      <w:r w:rsidR="004711EA">
        <w:rPr>
          <w:color w:val="000000"/>
          <w:shd w:val="clear" w:color="auto" w:fill="FFFFFF"/>
        </w:rPr>
        <w:t>.</w:t>
      </w:r>
      <w:r w:rsidR="007E1371" w:rsidRPr="009A5FE5">
        <w:rPr>
          <w:color w:val="000000"/>
          <w:szCs w:val="24"/>
          <w:shd w:val="clear" w:color="auto" w:fill="FFFFFF"/>
        </w:rPr>
        <w:t>”</w:t>
      </w:r>
    </w:p>
    <w:p w:rsidR="005A7F37" w:rsidRDefault="005A7F37" w:rsidP="00763FDB">
      <w:pPr>
        <w:pStyle w:val="ParaLevel1"/>
      </w:pPr>
      <w:r>
        <w:t>Section 124 provides for a cap on compensation, which has increased over the years.  It was originally applicable in all cases, but, as will appear, it has since been disapplied in the case of some (though not all) kinds of automatically unfair dismissal.</w:t>
      </w:r>
    </w:p>
    <w:p w:rsidR="00526159" w:rsidRPr="001F14FC" w:rsidRDefault="00526159" w:rsidP="00763FDB">
      <w:pPr>
        <w:pStyle w:val="ParaLevel1"/>
        <w:numPr>
          <w:ilvl w:val="0"/>
          <w:numId w:val="0"/>
        </w:numPr>
        <w:rPr>
          <w:u w:val="single"/>
        </w:rPr>
      </w:pPr>
      <w:r>
        <w:rPr>
          <w:u w:val="single"/>
        </w:rPr>
        <w:t>Part V</w:t>
      </w:r>
    </w:p>
    <w:p w:rsidR="00526159" w:rsidRDefault="00526159" w:rsidP="00763FDB">
      <w:pPr>
        <w:pStyle w:val="ParaLevel1"/>
      </w:pPr>
      <w:r>
        <w:t>As originally enacted, Part V contained four sections con</w:t>
      </w:r>
      <w:r w:rsidR="005D4D9C">
        <w:t xml:space="preserve">ferring on employees the right </w:t>
      </w:r>
      <w:r>
        <w:t xml:space="preserve">not to </w:t>
      </w:r>
      <w:r w:rsidR="005D4D9C">
        <w:t>be subjected to detriment</w:t>
      </w:r>
      <w:r w:rsidRPr="00B32539">
        <w:t xml:space="preserve"> </w:t>
      </w:r>
      <w:r w:rsidR="005D4D9C">
        <w:t xml:space="preserve">on various </w:t>
      </w:r>
      <w:r>
        <w:t>grounds</w:t>
      </w:r>
      <w:r w:rsidR="001C55C7">
        <w:t xml:space="preserve"> corresponding to </w:t>
      </w:r>
      <w:r w:rsidR="00A07240">
        <w:t xml:space="preserve">the </w:t>
      </w:r>
      <w:r w:rsidR="004A3317">
        <w:t>proscribed grounds</w:t>
      </w:r>
      <w:r w:rsidR="00A07240">
        <w:t xml:space="preserve"> under Part X</w:t>
      </w:r>
      <w:r w:rsidR="002E606B">
        <w:t>.  The rights in question</w:t>
      </w:r>
      <w:r>
        <w:t xml:space="preserve"> do not go as far back as the </w:t>
      </w:r>
      <w:r w:rsidR="00A4497F">
        <w:t xml:space="preserve">unfair dismissal provisions: </w:t>
      </w:r>
      <w:r w:rsidR="002E606B">
        <w:t>they</w:t>
      </w:r>
      <w:r w:rsidR="00A4497F">
        <w:t xml:space="preserve"> were created at various </w:t>
      </w:r>
      <w:r w:rsidR="00D62344">
        <w:t>stages</w:t>
      </w:r>
      <w:r w:rsidR="00A4497F">
        <w:t xml:space="preserve"> </w:t>
      </w:r>
      <w:r w:rsidR="000947B9">
        <w:t>during the 1990s</w:t>
      </w:r>
      <w:r w:rsidR="00A4497F">
        <w:t>.</w:t>
      </w:r>
      <w:r w:rsidR="00D62344">
        <w:t xml:space="preserve">  </w:t>
      </w:r>
      <w:r>
        <w:t xml:space="preserve">I take as an example section 44, where the </w:t>
      </w:r>
      <w:r w:rsidR="004A3317">
        <w:t>proscribed</w:t>
      </w:r>
      <w:r w:rsidR="00D62344">
        <w:t xml:space="preserve"> </w:t>
      </w:r>
      <w:r w:rsidR="004A3317">
        <w:t>ground</w:t>
      </w:r>
      <w:r>
        <w:t xml:space="preserve"> </w:t>
      </w:r>
      <w:r w:rsidR="004A3317">
        <w:t>is</w:t>
      </w:r>
      <w:r w:rsidR="00D62344">
        <w:t xml:space="preserve">, broadly, </w:t>
      </w:r>
      <w:r>
        <w:t>acts done to promote health and safety.  Sub-section (1) begins:</w:t>
      </w:r>
    </w:p>
    <w:p w:rsidR="00526159" w:rsidRDefault="00526159" w:rsidP="00763FDB">
      <w:pPr>
        <w:pStyle w:val="ParaLevel1"/>
        <w:numPr>
          <w:ilvl w:val="0"/>
          <w:numId w:val="0"/>
        </w:numPr>
        <w:ind w:left="1418" w:right="793"/>
      </w:pPr>
      <w:r>
        <w:t xml:space="preserve">“An employee has the right not to be subjected to any detriment by any act, or any deliberate failure to act, by his employer done on the ground that …” </w:t>
      </w:r>
    </w:p>
    <w:p w:rsidR="00526159" w:rsidRDefault="00526159" w:rsidP="00763FDB">
      <w:pPr>
        <w:pStyle w:val="ParaLevel1"/>
        <w:numPr>
          <w:ilvl w:val="0"/>
          <w:numId w:val="0"/>
        </w:numPr>
        <w:ind w:left="720"/>
      </w:pPr>
      <w:r>
        <w:t>Sections 45-47 adopt the identical formula.</w:t>
      </w:r>
    </w:p>
    <w:p w:rsidR="00D85152" w:rsidRDefault="00D85152" w:rsidP="00763FDB">
      <w:pPr>
        <w:pStyle w:val="ParaLevel1"/>
      </w:pPr>
      <w:r>
        <w:t>The definition of “employee” in section 230 (1) and (2) applie</w:t>
      </w:r>
      <w:r w:rsidR="00AA09E6">
        <w:t>d</w:t>
      </w:r>
      <w:r>
        <w:t xml:space="preserve"> to those provisions as it does to</w:t>
      </w:r>
      <w:r w:rsidR="00AA09E6">
        <w:t xml:space="preserve"> unfair dismissal, so only those employed under contracts of service could claim</w:t>
      </w:r>
      <w:r>
        <w:t xml:space="preserve">.  </w:t>
      </w:r>
    </w:p>
    <w:p w:rsidR="00526159" w:rsidRDefault="00AA09E6" w:rsidP="00763FDB">
      <w:pPr>
        <w:pStyle w:val="ParaLevel1"/>
      </w:pPr>
      <w:r>
        <w:t>As regards enforcement, s</w:t>
      </w:r>
      <w:r w:rsidR="00526159">
        <w:t>ection 48 gave the right to complain to what was then still called the industrial tribunal of a breach of the rights conferred by sections 44 to 47 and contained procedural provisions which I ne</w:t>
      </w:r>
      <w:r w:rsidR="001B2104">
        <w:t>ed not set out.  Section 49, headed “Remedies”, read</w:t>
      </w:r>
      <w:r w:rsidR="00526159">
        <w:t>:</w:t>
      </w:r>
    </w:p>
    <w:p w:rsidR="00526159" w:rsidRDefault="00526159" w:rsidP="00763FDB">
      <w:pPr>
        <w:pStyle w:val="ParaLevel1"/>
        <w:numPr>
          <w:ilvl w:val="0"/>
          <w:numId w:val="0"/>
        </w:numPr>
        <w:ind w:left="1418" w:right="793"/>
      </w:pPr>
      <w:r>
        <w:t>“(1) Where an industrial tribunal finds a complaint under </w:t>
      </w:r>
      <w:r w:rsidRPr="00284357">
        <w:rPr>
          <w:szCs w:val="24"/>
        </w:rPr>
        <w:t>section 48 </w:t>
      </w:r>
      <w:r>
        <w:t>well-founded, the tribunal</w:t>
      </w:r>
      <w:r w:rsidR="00FA0D33">
        <w:t xml:space="preserve"> </w:t>
      </w:r>
      <w:r>
        <w:t>—</w:t>
      </w:r>
    </w:p>
    <w:p w:rsidR="00526159" w:rsidRDefault="00526159" w:rsidP="00763FDB">
      <w:pPr>
        <w:pStyle w:val="ParaLevel1"/>
        <w:numPr>
          <w:ilvl w:val="0"/>
          <w:numId w:val="0"/>
        </w:numPr>
        <w:ind w:left="1985" w:right="794" w:hanging="567"/>
      </w:pPr>
      <w:r>
        <w:t xml:space="preserve">(a) </w:t>
      </w:r>
      <w:r>
        <w:tab/>
        <w:t>shall make a declaration to that effect, and</w:t>
      </w:r>
    </w:p>
    <w:p w:rsidR="00526159" w:rsidRDefault="00526159" w:rsidP="00763FDB">
      <w:pPr>
        <w:pStyle w:val="ParaLevel1"/>
        <w:numPr>
          <w:ilvl w:val="0"/>
          <w:numId w:val="0"/>
        </w:numPr>
        <w:ind w:left="1985" w:right="794" w:hanging="567"/>
      </w:pPr>
      <w:r>
        <w:t xml:space="preserve">(b) </w:t>
      </w:r>
      <w:r>
        <w:tab/>
        <w:t>may make an award of compensation to be paid by the employer to the complainant in respect of the act or failure to act to which the complaint relates.</w:t>
      </w:r>
    </w:p>
    <w:p w:rsidR="00526159" w:rsidRDefault="00526159" w:rsidP="00763FDB">
      <w:pPr>
        <w:pStyle w:val="ParaLevel1"/>
        <w:numPr>
          <w:ilvl w:val="0"/>
          <w:numId w:val="0"/>
        </w:numPr>
        <w:ind w:left="1418" w:right="793"/>
      </w:pPr>
      <w:r>
        <w:t xml:space="preserve">(2) </w:t>
      </w:r>
      <w:r w:rsidR="001B2104">
        <w:t xml:space="preserve">   </w:t>
      </w:r>
      <w:r>
        <w:t>The amount of the compensation awarded shall be such as the tribunal considers just and equitable in all the circumstances having regard to</w:t>
      </w:r>
      <w:r w:rsidR="00FA0D33">
        <w:t xml:space="preserve"> </w:t>
      </w:r>
      <w:r>
        <w:t>—</w:t>
      </w:r>
    </w:p>
    <w:p w:rsidR="00526159" w:rsidRDefault="00526159" w:rsidP="00763FDB">
      <w:pPr>
        <w:pStyle w:val="ParaLevel1"/>
        <w:numPr>
          <w:ilvl w:val="0"/>
          <w:numId w:val="0"/>
        </w:numPr>
        <w:ind w:left="1985" w:right="794" w:hanging="567"/>
      </w:pPr>
      <w:r>
        <w:t xml:space="preserve">(a) </w:t>
      </w:r>
      <w:r>
        <w:tab/>
        <w:t>the infringement to which the complaint relates, and</w:t>
      </w:r>
    </w:p>
    <w:p w:rsidR="00526159" w:rsidRDefault="00526159" w:rsidP="00763FDB">
      <w:pPr>
        <w:pStyle w:val="ParaLevel1"/>
        <w:numPr>
          <w:ilvl w:val="0"/>
          <w:numId w:val="0"/>
        </w:numPr>
        <w:ind w:left="1985" w:right="794" w:hanging="567"/>
      </w:pPr>
      <w:r>
        <w:t xml:space="preserve">(b) </w:t>
      </w:r>
      <w:r>
        <w:tab/>
        <w:t>any loss which is attributable to the act, or failure to act, which infringed the complainant's right.</w:t>
      </w:r>
    </w:p>
    <w:p w:rsidR="00526159" w:rsidRDefault="00526159" w:rsidP="00763FDB">
      <w:pPr>
        <w:pStyle w:val="ParaLevel1"/>
        <w:numPr>
          <w:ilvl w:val="0"/>
          <w:numId w:val="0"/>
        </w:numPr>
        <w:ind w:left="1418" w:right="793"/>
      </w:pPr>
      <w:r>
        <w:t xml:space="preserve">(3) </w:t>
      </w:r>
      <w:r w:rsidR="001B2104">
        <w:t xml:space="preserve">   </w:t>
      </w:r>
      <w:r>
        <w:t>The loss shall be taken to include</w:t>
      </w:r>
      <w:r w:rsidR="00FA0D33">
        <w:t xml:space="preserve"> </w:t>
      </w:r>
      <w:r>
        <w:t>—</w:t>
      </w:r>
    </w:p>
    <w:p w:rsidR="00526159" w:rsidRDefault="00526159" w:rsidP="00763FDB">
      <w:pPr>
        <w:pStyle w:val="ParaLevel1"/>
        <w:numPr>
          <w:ilvl w:val="0"/>
          <w:numId w:val="0"/>
        </w:numPr>
        <w:ind w:left="1985" w:right="794" w:hanging="567"/>
      </w:pPr>
      <w:r>
        <w:t xml:space="preserve">(a) </w:t>
      </w:r>
      <w:r>
        <w:tab/>
        <w:t>any expenses reasonably incurred by the complainant in consequence of the act, or failure to act, to which the complaint relates, and</w:t>
      </w:r>
    </w:p>
    <w:p w:rsidR="00526159" w:rsidRDefault="00526159" w:rsidP="00763FDB">
      <w:pPr>
        <w:pStyle w:val="ParaLevel1"/>
        <w:numPr>
          <w:ilvl w:val="0"/>
          <w:numId w:val="0"/>
        </w:numPr>
        <w:ind w:left="1985" w:right="794" w:hanging="567"/>
      </w:pPr>
      <w:r>
        <w:t xml:space="preserve">(b) </w:t>
      </w:r>
      <w:r>
        <w:tab/>
        <w:t>loss of any benefit which he might reasonably be expected to have had but for that act or failure to act.</w:t>
      </w:r>
    </w:p>
    <w:p w:rsidR="00526159" w:rsidRDefault="00526159" w:rsidP="00763FDB">
      <w:pPr>
        <w:pStyle w:val="ParaLevel1"/>
        <w:numPr>
          <w:ilvl w:val="0"/>
          <w:numId w:val="0"/>
        </w:numPr>
        <w:ind w:left="1418" w:right="793"/>
      </w:pPr>
      <w:r>
        <w:t xml:space="preserve">(4) </w:t>
      </w:r>
      <w:r w:rsidR="001B2104">
        <w:t xml:space="preserve">  </w:t>
      </w:r>
      <w:r>
        <w:t>In ascertaining the loss the tribunal shall apply the same rule concerning the duty of a person to mitigate his loss as applies to damages recoverable under the common law of England and Wales or (as the case may be) Scotland.</w:t>
      </w:r>
    </w:p>
    <w:p w:rsidR="00526159" w:rsidRDefault="00526159" w:rsidP="00763FDB">
      <w:pPr>
        <w:pStyle w:val="ParaLevel1"/>
        <w:numPr>
          <w:ilvl w:val="0"/>
          <w:numId w:val="0"/>
        </w:numPr>
        <w:ind w:left="1418" w:right="793"/>
      </w:pPr>
      <w:r>
        <w:t xml:space="preserve">(5) </w:t>
      </w:r>
      <w:r w:rsidR="001B2104">
        <w:t xml:space="preserve">  </w:t>
      </w:r>
      <w:r>
        <w:t>Where the tribunal finds that the act, or failure to act, to which the complaint relates was to any extent caused or contributed to by action of the complainant, it shall reduce the amount of the compensation by such proportion as it considers just and equitable having regard to that finding.”</w:t>
      </w:r>
    </w:p>
    <w:p w:rsidR="00526159" w:rsidRPr="009A2FB3" w:rsidRDefault="009E4230" w:rsidP="00763FDB">
      <w:pPr>
        <w:pStyle w:val="ParaLevel1"/>
        <w:numPr>
          <w:ilvl w:val="0"/>
          <w:numId w:val="0"/>
        </w:numPr>
        <w:ind w:left="720"/>
        <w:rPr>
          <w:color w:val="000000"/>
          <w:szCs w:val="24"/>
        </w:rPr>
      </w:pPr>
      <w:r>
        <w:rPr>
          <w:color w:val="000000"/>
          <w:szCs w:val="24"/>
        </w:rPr>
        <w:t>T</w:t>
      </w:r>
      <w:r w:rsidR="00310EBA">
        <w:rPr>
          <w:color w:val="000000"/>
          <w:szCs w:val="24"/>
        </w:rPr>
        <w:t xml:space="preserve">hose provisions are in most, though not </w:t>
      </w:r>
      <w:r w:rsidR="001C55C7">
        <w:rPr>
          <w:color w:val="000000"/>
          <w:szCs w:val="24"/>
        </w:rPr>
        <w:t xml:space="preserve">all, respects identical to the provisions </w:t>
      </w:r>
      <w:r w:rsidR="009A2FB3">
        <w:rPr>
          <w:color w:val="000000"/>
          <w:szCs w:val="24"/>
        </w:rPr>
        <w:t>governing compensation in Part X</w:t>
      </w:r>
      <w:r w:rsidR="001C55C7">
        <w:rPr>
          <w:color w:val="000000"/>
          <w:szCs w:val="24"/>
        </w:rPr>
        <w:t xml:space="preserve"> (see para. </w:t>
      </w:r>
      <w:r w:rsidR="00FA0D33">
        <w:rPr>
          <w:color w:val="000000"/>
          <w:szCs w:val="24"/>
        </w:rPr>
        <w:t>12</w:t>
      </w:r>
      <w:r w:rsidR="001C55C7">
        <w:rPr>
          <w:color w:val="000000"/>
          <w:szCs w:val="24"/>
        </w:rPr>
        <w:t xml:space="preserve"> above).  </w:t>
      </w:r>
    </w:p>
    <w:p w:rsidR="005A7F37" w:rsidRPr="00D373DD" w:rsidRDefault="00D373DD" w:rsidP="00763FDB">
      <w:pPr>
        <w:pStyle w:val="ParaLevel1"/>
        <w:numPr>
          <w:ilvl w:val="0"/>
          <w:numId w:val="0"/>
        </w:numPr>
        <w:rPr>
          <w:u w:val="single"/>
        </w:rPr>
      </w:pPr>
      <w:r>
        <w:rPr>
          <w:u w:val="single"/>
        </w:rPr>
        <w:t>The Relationship between Part V and Part X</w:t>
      </w:r>
    </w:p>
    <w:p w:rsidR="00F66C9E" w:rsidRDefault="00D373DD" w:rsidP="00763FDB">
      <w:pPr>
        <w:pStyle w:val="ParaLevel1"/>
      </w:pPr>
      <w:r>
        <w:t>It will be seen that both Part V and Part X</w:t>
      </w:r>
      <w:r w:rsidR="00F04EB0">
        <w:t xml:space="preserve"> </w:t>
      </w:r>
      <w:r w:rsidR="00B9691D">
        <w:t>provide for</w:t>
      </w:r>
      <w:r w:rsidR="00A744DC">
        <w:t xml:space="preserve"> substantially </w:t>
      </w:r>
      <w:r w:rsidR="00B9691D">
        <w:t>self-contain</w:t>
      </w:r>
      <w:r w:rsidR="00547477">
        <w:t>ed</w:t>
      </w:r>
      <w:r w:rsidR="009E4230">
        <w:t>, albeit largely parallel,</w:t>
      </w:r>
      <w:r w:rsidR="00547477">
        <w:t xml:space="preserve"> regimes governing the rights </w:t>
      </w:r>
      <w:r w:rsidR="00B9691D">
        <w:t xml:space="preserve">which they protect.  However </w:t>
      </w:r>
      <w:r>
        <w:t xml:space="preserve">the draftsman </w:t>
      </w:r>
      <w:r w:rsidR="00B9691D">
        <w:t>appreciated</w:t>
      </w:r>
      <w:r w:rsidR="00085EA4">
        <w:t xml:space="preserve"> that</w:t>
      </w:r>
      <w:r w:rsidR="00B9691D">
        <w:t xml:space="preserve">, absent provision to the contrary, </w:t>
      </w:r>
      <w:r w:rsidR="004B4679">
        <w:t>dismissal would itself constitute a detriment</w:t>
      </w:r>
      <w:r w:rsidR="007D67D2">
        <w:t xml:space="preserve">, which would </w:t>
      </w:r>
      <w:r w:rsidR="00547477">
        <w:t>mean that a claim of dismissal on whistleblower grounds could in principl</w:t>
      </w:r>
      <w:r w:rsidR="00A92EE5">
        <w:t xml:space="preserve">e be brought under either Part.  That </w:t>
      </w:r>
      <w:r w:rsidR="00204E37">
        <w:t>overlap</w:t>
      </w:r>
      <w:r w:rsidR="00A92EE5">
        <w:t xml:space="preserve"> was addressed by including a provision </w:t>
      </w:r>
      <w:r w:rsidR="000633F6">
        <w:t>in identical terms</w:t>
      </w:r>
      <w:r w:rsidR="00A92EE5">
        <w:t xml:space="preserve"> in each of sections 44-47 </w:t>
      </w:r>
      <w:r w:rsidR="006D7E5C">
        <w:t xml:space="preserve">(for </w:t>
      </w:r>
      <w:r w:rsidR="007D65BC">
        <w:t>convenience</w:t>
      </w:r>
      <w:r w:rsidR="000633F6">
        <w:t xml:space="preserve"> I will refer to it as section 44 (4)</w:t>
      </w:r>
      <w:r w:rsidR="006D7E5C">
        <w:t>)</w:t>
      </w:r>
      <w:r w:rsidR="00FA0D33">
        <w:t xml:space="preserve"> as follows</w:t>
      </w:r>
      <w:r w:rsidR="00F66C9E">
        <w:t>:</w:t>
      </w:r>
    </w:p>
    <w:p w:rsidR="00B02456" w:rsidRPr="00B02456" w:rsidRDefault="00B02456" w:rsidP="00763FDB">
      <w:pPr>
        <w:ind w:left="1418" w:right="793"/>
        <w:jc w:val="both"/>
      </w:pPr>
      <w:r w:rsidRPr="00B02456">
        <w:t>“</w:t>
      </w:r>
      <w:r w:rsidRPr="00B02456">
        <w:rPr>
          <w:color w:val="000000"/>
          <w:shd w:val="clear" w:color="auto" w:fill="FFFFFF"/>
        </w:rPr>
        <w:t>Except where an employee is dismissed in circumstances in which, by virtue of </w:t>
      </w:r>
      <w:r w:rsidRPr="00B02456">
        <w:rPr>
          <w:shd w:val="clear" w:color="auto" w:fill="FFFFFF"/>
        </w:rPr>
        <w:t>section 197</w:t>
      </w:r>
      <w:r w:rsidRPr="00B02456">
        <w:rPr>
          <w:color w:val="000000"/>
          <w:shd w:val="clear" w:color="auto" w:fill="FFFFFF"/>
        </w:rPr>
        <w:t>, </w:t>
      </w:r>
      <w:r w:rsidRPr="00B02456">
        <w:rPr>
          <w:shd w:val="clear" w:color="auto" w:fill="FFFFFF"/>
        </w:rPr>
        <w:t>Part X</w:t>
      </w:r>
      <w:r w:rsidRPr="00B02456">
        <w:rPr>
          <w:color w:val="000000"/>
          <w:shd w:val="clear" w:color="auto" w:fill="FFFFFF"/>
        </w:rPr>
        <w:t> does not apply to the dismissal, this section does not apply where the detriment in question amounts to dismissal (within the meaning of that Part).”</w:t>
      </w:r>
    </w:p>
    <w:p w:rsidR="00D07518" w:rsidRDefault="006A6489" w:rsidP="00763FDB">
      <w:pPr>
        <w:pStyle w:val="ParaLevel1"/>
        <w:numPr>
          <w:ilvl w:val="0"/>
          <w:numId w:val="0"/>
        </w:numPr>
        <w:ind w:left="720"/>
      </w:pPr>
      <w:r>
        <w:t xml:space="preserve">That </w:t>
      </w:r>
      <w:r w:rsidR="00085EA4">
        <w:t>was not an innovation: similar provisions are to be found in the pre-1996 Act legislation</w:t>
      </w:r>
      <w:r w:rsidR="0062041D">
        <w:t xml:space="preserve"> covering unlawful detriment.</w:t>
      </w:r>
      <w:r w:rsidR="000024C8">
        <w:t xml:space="preserve">  </w:t>
      </w:r>
    </w:p>
    <w:p w:rsidR="00B91C9C" w:rsidRPr="00575802" w:rsidRDefault="00B91C9C" w:rsidP="00763FDB">
      <w:pPr>
        <w:pStyle w:val="ParaLevel1"/>
      </w:pPr>
      <w:r>
        <w:t>T</w:t>
      </w:r>
      <w:r w:rsidR="0062041D">
        <w:t xml:space="preserve">he exception </w:t>
      </w:r>
      <w:r w:rsidR="000024C8">
        <w:t xml:space="preserve">provided by the </w:t>
      </w:r>
      <w:r w:rsidR="008A02BC">
        <w:t>introductory words of</w:t>
      </w:r>
      <w:r>
        <w:t xml:space="preserve"> section 44 (4) </w:t>
      </w:r>
      <w:r w:rsidR="008A02BC">
        <w:t>reflect</w:t>
      </w:r>
      <w:r w:rsidR="00FA0D33">
        <w:t>ed</w:t>
      </w:r>
      <w:r w:rsidR="008A02BC">
        <w:t xml:space="preserve"> the fact that </w:t>
      </w:r>
      <w:r w:rsidR="008A02BC">
        <w:rPr>
          <w:szCs w:val="24"/>
        </w:rPr>
        <w:t>s</w:t>
      </w:r>
      <w:r w:rsidR="008A02BC" w:rsidRPr="00C61F8D">
        <w:rPr>
          <w:szCs w:val="24"/>
        </w:rPr>
        <w:t>ection 197 of the 1996 Act excluded employees on fixed-term contracts (subject to some conditions) f</w:t>
      </w:r>
      <w:r w:rsidR="008A02BC">
        <w:rPr>
          <w:szCs w:val="24"/>
        </w:rPr>
        <w:t>rom unfair dismissal protection.  The effect of the exception was that</w:t>
      </w:r>
      <w:r w:rsidR="008A02BC" w:rsidRPr="00C61F8D">
        <w:rPr>
          <w:szCs w:val="24"/>
        </w:rPr>
        <w:t xml:space="preserve"> </w:t>
      </w:r>
      <w:r w:rsidR="00FA17F0">
        <w:rPr>
          <w:szCs w:val="24"/>
        </w:rPr>
        <w:t xml:space="preserve">if </w:t>
      </w:r>
      <w:r w:rsidR="008A02BC" w:rsidRPr="00C61F8D">
        <w:rPr>
          <w:szCs w:val="24"/>
        </w:rPr>
        <w:t xml:space="preserve">such employees </w:t>
      </w:r>
      <w:r w:rsidR="00FA17F0">
        <w:rPr>
          <w:szCs w:val="24"/>
        </w:rPr>
        <w:t>were</w:t>
      </w:r>
      <w:r w:rsidR="008A02BC" w:rsidRPr="00C61F8D">
        <w:rPr>
          <w:szCs w:val="24"/>
        </w:rPr>
        <w:t xml:space="preserve"> dismissed </w:t>
      </w:r>
      <w:r w:rsidR="00FA17F0">
        <w:rPr>
          <w:szCs w:val="24"/>
        </w:rPr>
        <w:t xml:space="preserve">on </w:t>
      </w:r>
      <w:r w:rsidR="002350B6">
        <w:rPr>
          <w:szCs w:val="24"/>
        </w:rPr>
        <w:t>a proscribed ground</w:t>
      </w:r>
      <w:r w:rsidR="00FA17F0">
        <w:rPr>
          <w:szCs w:val="24"/>
        </w:rPr>
        <w:t xml:space="preserve"> they </w:t>
      </w:r>
      <w:r w:rsidR="008A02BC" w:rsidRPr="00C61F8D">
        <w:rPr>
          <w:szCs w:val="24"/>
        </w:rPr>
        <w:t xml:space="preserve">could bring claims </w:t>
      </w:r>
      <w:r w:rsidR="00FA17F0">
        <w:rPr>
          <w:szCs w:val="24"/>
        </w:rPr>
        <w:t xml:space="preserve">under Part V relying on the dismissal as a detriment.  The exception </w:t>
      </w:r>
      <w:r w:rsidR="002350B6">
        <w:rPr>
          <w:szCs w:val="24"/>
        </w:rPr>
        <w:t>was</w:t>
      </w:r>
      <w:r w:rsidR="00156DCD">
        <w:t xml:space="preserve"> removed </w:t>
      </w:r>
      <w:r w:rsidR="0062041D">
        <w:t>by the 1999 Act</w:t>
      </w:r>
      <w:r w:rsidR="002350B6">
        <w:t xml:space="preserve">. </w:t>
      </w:r>
    </w:p>
    <w:p w:rsidR="0062041D" w:rsidRDefault="0062041D" w:rsidP="00763FDB">
      <w:pPr>
        <w:pStyle w:val="ParaHeading"/>
        <w:rPr>
          <w:u w:val="single"/>
        </w:rPr>
      </w:pPr>
      <w:r>
        <w:rPr>
          <w:u w:val="single"/>
        </w:rPr>
        <w:t>THE ORIGINAL WHISTLEBLOWER PROVISIONS</w:t>
      </w:r>
    </w:p>
    <w:p w:rsidR="00485B32" w:rsidRDefault="003F6944" w:rsidP="00763FDB">
      <w:pPr>
        <w:pStyle w:val="ParaLevel1"/>
      </w:pPr>
      <w:r>
        <w:t>I set out under this head t</w:t>
      </w:r>
      <w:r w:rsidR="00637446">
        <w:t>he effect of th</w:t>
      </w:r>
      <w:r w:rsidR="00AA2F89">
        <w:t>e amendmen</w:t>
      </w:r>
      <w:r w:rsidR="00037319">
        <w:t xml:space="preserve">ts </w:t>
      </w:r>
      <w:r w:rsidR="00D52ADC">
        <w:t xml:space="preserve">to </w:t>
      </w:r>
      <w:r w:rsidR="007374DC">
        <w:t>the 1996 Act</w:t>
      </w:r>
      <w:r w:rsidR="00D52ADC">
        <w:t xml:space="preserve"> introduced by </w:t>
      </w:r>
      <w:r w:rsidR="007374DC">
        <w:t>the 1998 Act</w:t>
      </w:r>
      <w:r>
        <w:t xml:space="preserve">, which took effect on July 2 1999, together with some further amendments introduced </w:t>
      </w:r>
      <w:r w:rsidR="004B6E15">
        <w:t>by the 1999 Act</w:t>
      </w:r>
      <w:r w:rsidR="004B6E15" w:rsidRPr="004B6E15">
        <w:t xml:space="preserve"> </w:t>
      </w:r>
      <w:r w:rsidR="004B6E15">
        <w:t xml:space="preserve">which took effect </w:t>
      </w:r>
      <w:r>
        <w:t xml:space="preserve">only three months later, </w:t>
      </w:r>
      <w:r w:rsidR="00392735">
        <w:t xml:space="preserve">on 25 </w:t>
      </w:r>
      <w:r w:rsidR="008A3329">
        <w:t>October</w:t>
      </w:r>
      <w:r w:rsidR="00392735">
        <w:t xml:space="preserve"> 1999</w:t>
      </w:r>
      <w:r w:rsidR="008A3329">
        <w:t>.</w:t>
      </w:r>
      <w:r w:rsidR="00D52ADC">
        <w:t xml:space="preserve"> </w:t>
      </w:r>
      <w:r w:rsidR="004A19E9">
        <w:t xml:space="preserve"> </w:t>
      </w:r>
      <w:r w:rsidR="006D5357">
        <w:t>I start with the new Part IVA</w:t>
      </w:r>
      <w:r w:rsidR="0052799E">
        <w:t xml:space="preserve">, </w:t>
      </w:r>
      <w:r w:rsidR="006D5357">
        <w:t xml:space="preserve">but thereafter </w:t>
      </w:r>
      <w:r w:rsidR="0052799E">
        <w:t>I</w:t>
      </w:r>
      <w:r w:rsidR="00B5578A">
        <w:t xml:space="preserve"> </w:t>
      </w:r>
      <w:r w:rsidR="006D5357">
        <w:t xml:space="preserve">again </w:t>
      </w:r>
      <w:r w:rsidR="00B5578A">
        <w:t xml:space="preserve">take </w:t>
      </w:r>
      <w:r w:rsidR="00AF36AF">
        <w:t xml:space="preserve">Part X </w:t>
      </w:r>
      <w:r w:rsidR="006D5357">
        <w:t>before</w:t>
      </w:r>
      <w:r w:rsidR="00AF36AF">
        <w:t xml:space="preserve"> Part V</w:t>
      </w:r>
      <w:r w:rsidR="00485B32">
        <w:t>.</w:t>
      </w:r>
    </w:p>
    <w:p w:rsidR="00E417C5" w:rsidRPr="008161F7" w:rsidRDefault="008161F7" w:rsidP="00763FDB">
      <w:pPr>
        <w:pStyle w:val="ParaLevel1"/>
        <w:numPr>
          <w:ilvl w:val="0"/>
          <w:numId w:val="0"/>
        </w:numPr>
        <w:rPr>
          <w:u w:val="single"/>
        </w:rPr>
      </w:pPr>
      <w:r>
        <w:rPr>
          <w:u w:val="single"/>
        </w:rPr>
        <w:t>Definition of Protected Disclosure</w:t>
      </w:r>
      <w:r w:rsidR="00E417C5" w:rsidRPr="008161F7">
        <w:rPr>
          <w:u w:val="single"/>
        </w:rPr>
        <w:t xml:space="preserve">  </w:t>
      </w:r>
    </w:p>
    <w:p w:rsidR="00C52F81" w:rsidRDefault="00C52F81" w:rsidP="00763FDB">
      <w:pPr>
        <w:pStyle w:val="ParaLevel1"/>
      </w:pPr>
      <w:r>
        <w:t>A new P</w:t>
      </w:r>
      <w:r w:rsidR="000D0935">
        <w:t xml:space="preserve">art IVA was introduced </w:t>
      </w:r>
      <w:r w:rsidR="00A30690">
        <w:t xml:space="preserve">into the 1996 Act </w:t>
      </w:r>
      <w:r w:rsidR="000D0935">
        <w:t>containing</w:t>
      </w:r>
      <w:r>
        <w:t xml:space="preserve"> a number of sections – 43A-43L – defining “protected disclosure”.  Nothing turns on those provisions for our purposes</w:t>
      </w:r>
      <w:r w:rsidR="003447B5">
        <w:t xml:space="preserve">, save that </w:t>
      </w:r>
      <w:r w:rsidR="005C2F65">
        <w:t>section 43K gives the term “worker”, whose primary definition is to be found in section 230 (3)</w:t>
      </w:r>
      <w:r w:rsidR="00612DC3">
        <w:t>,</w:t>
      </w:r>
      <w:r w:rsidR="00167F12">
        <w:t xml:space="preserve"> an extended meaning </w:t>
      </w:r>
      <w:r w:rsidR="002C238C">
        <w:t xml:space="preserve">for the purpose of Part IVA: </w:t>
      </w:r>
      <w:r w:rsidR="00991518">
        <w:t xml:space="preserve">I need not set </w:t>
      </w:r>
      <w:r w:rsidR="002C238C">
        <w:t xml:space="preserve">it </w:t>
      </w:r>
      <w:r w:rsidR="00991518">
        <w:t>out</w:t>
      </w:r>
      <w:r w:rsidR="00CE7A2E">
        <w:t>,</w:t>
      </w:r>
      <w:r w:rsidR="00991518">
        <w:t xml:space="preserve"> but </w:t>
      </w:r>
      <w:r w:rsidR="002C238C">
        <w:t>it is</w:t>
      </w:r>
      <w:r w:rsidR="00944778">
        <w:t>, we were told, unique to the whistleblower legislation</w:t>
      </w:r>
      <w:r>
        <w:t>.</w:t>
      </w:r>
    </w:p>
    <w:p w:rsidR="00485B32" w:rsidRPr="001C2808" w:rsidRDefault="001C2808" w:rsidP="00763FDB">
      <w:pPr>
        <w:pStyle w:val="ParaLevel1"/>
        <w:numPr>
          <w:ilvl w:val="0"/>
          <w:numId w:val="0"/>
        </w:numPr>
        <w:rPr>
          <w:u w:val="single"/>
        </w:rPr>
      </w:pPr>
      <w:r w:rsidRPr="001C2808">
        <w:rPr>
          <w:u w:val="single"/>
        </w:rPr>
        <w:t>Whistleblower Dismissal</w:t>
      </w:r>
    </w:p>
    <w:p w:rsidR="00485B32" w:rsidRDefault="00FD0A99" w:rsidP="00763FDB">
      <w:pPr>
        <w:pStyle w:val="ParaLevel1"/>
      </w:pPr>
      <w:r>
        <w:t>A new secti</w:t>
      </w:r>
      <w:r w:rsidR="0075200B">
        <w:t>on 103A was added to the group o</w:t>
      </w:r>
      <w:r w:rsidR="00A248FA">
        <w:t>f sections in</w:t>
      </w:r>
      <w:r w:rsidR="00A347E5">
        <w:t xml:space="preserve"> Part X providing for cases of automatic unfair dismissal, as follows:</w:t>
      </w:r>
    </w:p>
    <w:p w:rsidR="00817F11" w:rsidRPr="00817F11" w:rsidRDefault="00817F11" w:rsidP="00763FDB">
      <w:pPr>
        <w:pStyle w:val="ParaLevel1"/>
        <w:numPr>
          <w:ilvl w:val="0"/>
          <w:numId w:val="0"/>
        </w:numPr>
        <w:ind w:left="1418" w:right="793"/>
        <w:rPr>
          <w:rFonts w:ascii="Times" w:hAnsi="Times"/>
          <w:sz w:val="20"/>
        </w:rPr>
      </w:pPr>
      <w:r>
        <w:rPr>
          <w:shd w:val="clear" w:color="auto" w:fill="FFFFFF"/>
        </w:rPr>
        <w:t>“</w:t>
      </w:r>
      <w:r w:rsidRPr="00817F11">
        <w:rPr>
          <w:shd w:val="clear" w:color="auto" w:fill="FFFFFF"/>
        </w:rPr>
        <w:t>An employee who is dismissed shall be regarded for the purposes of this Part as unfairly dismissed if the reason (or, if more than one, the principal reason) for the dismissal is that the employee made a protected disclosure.</w:t>
      </w:r>
      <w:r>
        <w:rPr>
          <w:shd w:val="clear" w:color="auto" w:fill="FFFFFF"/>
        </w:rPr>
        <w:t>”</w:t>
      </w:r>
    </w:p>
    <w:p w:rsidR="00485B32" w:rsidRDefault="00A85ABF" w:rsidP="00763FDB">
      <w:pPr>
        <w:pStyle w:val="ParaLevel1"/>
      </w:pPr>
      <w:r>
        <w:t>The only</w:t>
      </w:r>
      <w:r w:rsidR="00390A7D">
        <w:t xml:space="preserve"> other</w:t>
      </w:r>
      <w:r w:rsidR="008F703E">
        <w:t xml:space="preserve"> change</w:t>
      </w:r>
      <w:r w:rsidR="00390A7D">
        <w:t xml:space="preserve"> </w:t>
      </w:r>
      <w:r>
        <w:t xml:space="preserve">made to Part X by the 1998 Act was to amend </w:t>
      </w:r>
      <w:r w:rsidR="00966BAF">
        <w:t xml:space="preserve">section 108 so as to disapply the </w:t>
      </w:r>
      <w:r w:rsidR="00A951DA">
        <w:t xml:space="preserve">provisions requiring a qualifying period of employment </w:t>
      </w:r>
      <w:r w:rsidR="004B6E15">
        <w:t>for</w:t>
      </w:r>
      <w:r w:rsidR="00A951DA">
        <w:t xml:space="preserve"> a claim under section 103A</w:t>
      </w:r>
      <w:r w:rsidR="008F703E">
        <w:t>: see section 108 (3) (ff).  However,</w:t>
      </w:r>
      <w:r>
        <w:t xml:space="preserve"> </w:t>
      </w:r>
      <w:r w:rsidR="005973CB">
        <w:t>shortly afterwards the 1999 Act amended section 124 so as</w:t>
      </w:r>
      <w:r w:rsidR="002A6AC7">
        <w:t xml:space="preserve"> to remove th</w:t>
      </w:r>
      <w:r w:rsidR="00A97468">
        <w:t>e statutory cap</w:t>
      </w:r>
      <w:r w:rsidR="008F703E">
        <w:t xml:space="preserve"> in the case of section 103A dismissals</w:t>
      </w:r>
      <w:r>
        <w:t>: see section 124 (1A)</w:t>
      </w:r>
      <w:r w:rsidR="002A6AC7">
        <w:t>.</w:t>
      </w:r>
    </w:p>
    <w:p w:rsidR="00763FDB" w:rsidRDefault="00763FDB" w:rsidP="00763FDB">
      <w:pPr>
        <w:pStyle w:val="ParaLevel1"/>
        <w:numPr>
          <w:ilvl w:val="0"/>
          <w:numId w:val="0"/>
        </w:numPr>
        <w:rPr>
          <w:u w:val="single"/>
        </w:rPr>
      </w:pPr>
    </w:p>
    <w:p w:rsidR="00763FDB" w:rsidRDefault="00763FDB" w:rsidP="00763FDB">
      <w:pPr>
        <w:pStyle w:val="ParaLevel1"/>
        <w:numPr>
          <w:ilvl w:val="0"/>
          <w:numId w:val="0"/>
        </w:numPr>
        <w:rPr>
          <w:u w:val="single"/>
        </w:rPr>
      </w:pPr>
    </w:p>
    <w:p w:rsidR="00637446" w:rsidRPr="00637446" w:rsidRDefault="00637446" w:rsidP="00763FDB">
      <w:pPr>
        <w:pStyle w:val="ParaLevel1"/>
        <w:numPr>
          <w:ilvl w:val="0"/>
          <w:numId w:val="0"/>
        </w:numPr>
        <w:rPr>
          <w:u w:val="single"/>
        </w:rPr>
      </w:pPr>
      <w:r>
        <w:rPr>
          <w:u w:val="single"/>
        </w:rPr>
        <w:t>Whistleblower Detriment</w:t>
      </w:r>
    </w:p>
    <w:p w:rsidR="00FB554A" w:rsidRDefault="008E55F0" w:rsidP="00763FDB">
      <w:pPr>
        <w:pStyle w:val="ParaLevel1"/>
      </w:pPr>
      <w:r>
        <w:t>The 1998 Act introduced a</w:t>
      </w:r>
      <w:r w:rsidR="00C52F81">
        <w:t xml:space="preserve"> new section 47B into Part V</w:t>
      </w:r>
      <w:r w:rsidR="00087D7E">
        <w:t>, giving workers – not, NB, just employees – the right not to be subjected to a</w:t>
      </w:r>
      <w:r w:rsidR="00944778">
        <w:t xml:space="preserve"> </w:t>
      </w:r>
      <w:r w:rsidR="00087D7E">
        <w:t>detriment for making a protected disclosure</w:t>
      </w:r>
      <w:r w:rsidR="006B54EC">
        <w:t xml:space="preserve">.  </w:t>
      </w:r>
      <w:r w:rsidR="00683CAF">
        <w:t xml:space="preserve">I need not reproduce it in its original form because it was shortly afterwards amended </w:t>
      </w:r>
      <w:r w:rsidR="003054C3">
        <w:t>by the 1999 Act</w:t>
      </w:r>
      <w:r w:rsidR="00683CAF">
        <w:t xml:space="preserve"> so as to</w:t>
      </w:r>
      <w:r w:rsidR="00FF52CF">
        <w:t xml:space="preserve"> read: </w:t>
      </w:r>
      <w:r w:rsidR="006B54EC">
        <w:t xml:space="preserve"> </w:t>
      </w:r>
    </w:p>
    <w:p w:rsidR="00FB554A" w:rsidRPr="0066552C" w:rsidRDefault="00FB554A" w:rsidP="00763FDB">
      <w:pPr>
        <w:pStyle w:val="ParaLevel1"/>
        <w:numPr>
          <w:ilvl w:val="0"/>
          <w:numId w:val="0"/>
        </w:numPr>
        <w:ind w:left="1418" w:right="793"/>
        <w:rPr>
          <w:lang w:eastAsia="en-GB"/>
        </w:rPr>
      </w:pPr>
      <w:r w:rsidRPr="0066552C">
        <w:rPr>
          <w:lang w:eastAsia="en-GB"/>
        </w:rPr>
        <w:t>“(1) A worker has the right not to be subjected to any detriment by any act, or any deliberate failure to act, by his employer done on the ground that the worker has made a protected disclosure.</w:t>
      </w:r>
    </w:p>
    <w:p w:rsidR="00FB554A" w:rsidRPr="0066552C" w:rsidRDefault="00FB554A" w:rsidP="00763FDB">
      <w:pPr>
        <w:pStyle w:val="ParaLevel1"/>
        <w:numPr>
          <w:ilvl w:val="0"/>
          <w:numId w:val="0"/>
        </w:numPr>
        <w:ind w:left="1418" w:right="793"/>
        <w:rPr>
          <w:lang w:eastAsia="en-GB"/>
        </w:rPr>
      </w:pPr>
      <w:r w:rsidRPr="0066552C">
        <w:rPr>
          <w:lang w:eastAsia="en-GB"/>
        </w:rPr>
        <w:t xml:space="preserve">(2) </w:t>
      </w:r>
      <w:r>
        <w:rPr>
          <w:lang w:eastAsia="en-GB"/>
        </w:rPr>
        <w:t xml:space="preserve">   </w:t>
      </w:r>
      <w:r w:rsidRPr="0066552C">
        <w:rPr>
          <w:lang w:eastAsia="en-GB"/>
        </w:rPr>
        <w:t xml:space="preserve">This section does not apply where— </w:t>
      </w:r>
    </w:p>
    <w:p w:rsidR="00FB554A" w:rsidRPr="0066552C" w:rsidRDefault="00FB554A" w:rsidP="00763FDB">
      <w:pPr>
        <w:pStyle w:val="ParaLevel1"/>
        <w:numPr>
          <w:ilvl w:val="0"/>
          <w:numId w:val="0"/>
        </w:numPr>
        <w:ind w:left="1985" w:right="794" w:hanging="567"/>
        <w:rPr>
          <w:lang w:eastAsia="en-GB"/>
        </w:rPr>
      </w:pPr>
      <w:r w:rsidRPr="0066552C">
        <w:rPr>
          <w:lang w:eastAsia="en-GB"/>
        </w:rPr>
        <w:t xml:space="preserve">(a) </w:t>
      </w:r>
      <w:r>
        <w:rPr>
          <w:lang w:eastAsia="en-GB"/>
        </w:rPr>
        <w:tab/>
      </w:r>
      <w:r w:rsidRPr="0066552C">
        <w:rPr>
          <w:lang w:eastAsia="en-GB"/>
        </w:rPr>
        <w:t>the worker is an employee, and</w:t>
      </w:r>
    </w:p>
    <w:p w:rsidR="00FB554A" w:rsidRPr="0066552C" w:rsidRDefault="00FB554A" w:rsidP="00763FDB">
      <w:pPr>
        <w:pStyle w:val="ParaLevel1"/>
        <w:numPr>
          <w:ilvl w:val="0"/>
          <w:numId w:val="0"/>
        </w:numPr>
        <w:ind w:left="1985" w:right="794" w:hanging="567"/>
        <w:rPr>
          <w:lang w:eastAsia="en-GB"/>
        </w:rPr>
      </w:pPr>
      <w:r w:rsidRPr="0066552C">
        <w:rPr>
          <w:lang w:eastAsia="en-GB"/>
        </w:rPr>
        <w:t xml:space="preserve">(b) </w:t>
      </w:r>
      <w:r>
        <w:rPr>
          <w:lang w:eastAsia="en-GB"/>
        </w:rPr>
        <w:tab/>
      </w:r>
      <w:r w:rsidRPr="0066552C">
        <w:rPr>
          <w:lang w:eastAsia="en-GB"/>
        </w:rPr>
        <w:t xml:space="preserve">the detriment in question amounts to dismissal (within the meaning of Part X). </w:t>
      </w:r>
    </w:p>
    <w:p w:rsidR="00FB554A" w:rsidRDefault="00FB554A" w:rsidP="00763FDB">
      <w:pPr>
        <w:pStyle w:val="ParaLevel1"/>
        <w:numPr>
          <w:ilvl w:val="0"/>
          <w:numId w:val="0"/>
        </w:numPr>
        <w:ind w:left="1418" w:right="793"/>
        <w:rPr>
          <w:lang w:eastAsia="en-GB"/>
        </w:rPr>
      </w:pPr>
      <w:r w:rsidRPr="0066552C">
        <w:rPr>
          <w:lang w:eastAsia="en-GB"/>
        </w:rPr>
        <w:t xml:space="preserve">(3) </w:t>
      </w:r>
      <w:r w:rsidR="00CE7A2E">
        <w:rPr>
          <w:lang w:eastAsia="en-GB"/>
        </w:rPr>
        <w:t xml:space="preserve">   </w:t>
      </w:r>
      <w:r w:rsidRPr="0066552C">
        <w:rPr>
          <w:lang w:eastAsia="en-GB"/>
        </w:rPr>
        <w:t xml:space="preserve">For the purposes of this section, and of sections 48 and 49 so far as relating to this section, </w:t>
      </w:r>
      <w:r>
        <w:rPr>
          <w:iCs/>
          <w:lang w:eastAsia="en-GB"/>
        </w:rPr>
        <w:t>‘worker’</w:t>
      </w:r>
      <w:r w:rsidRPr="00DE2883">
        <w:rPr>
          <w:lang w:eastAsia="en-GB"/>
        </w:rPr>
        <w:t xml:space="preserve">, </w:t>
      </w:r>
      <w:r>
        <w:rPr>
          <w:iCs/>
          <w:lang w:eastAsia="en-GB"/>
        </w:rPr>
        <w:t>‘worker's contract’</w:t>
      </w:r>
      <w:r w:rsidRPr="00DE2883">
        <w:rPr>
          <w:lang w:eastAsia="en-GB"/>
        </w:rPr>
        <w:t xml:space="preserve">, </w:t>
      </w:r>
      <w:r>
        <w:rPr>
          <w:iCs/>
          <w:lang w:eastAsia="en-GB"/>
        </w:rPr>
        <w:t>‘employment’</w:t>
      </w:r>
      <w:r w:rsidRPr="00DE2883">
        <w:rPr>
          <w:lang w:eastAsia="en-GB"/>
        </w:rPr>
        <w:t xml:space="preserve"> and </w:t>
      </w:r>
      <w:r>
        <w:rPr>
          <w:iCs/>
          <w:lang w:eastAsia="en-GB"/>
        </w:rPr>
        <w:t>‘employer’</w:t>
      </w:r>
      <w:r w:rsidRPr="0066552C">
        <w:rPr>
          <w:lang w:eastAsia="en-GB"/>
        </w:rPr>
        <w:t xml:space="preserve"> have the extended meaning given by section 43K.”</w:t>
      </w:r>
    </w:p>
    <w:p w:rsidR="00FB554A" w:rsidRDefault="00C109A7" w:rsidP="00763FDB">
      <w:pPr>
        <w:pStyle w:val="ParaLevel1"/>
        <w:numPr>
          <w:ilvl w:val="0"/>
          <w:numId w:val="0"/>
        </w:numPr>
        <w:ind w:left="720"/>
      </w:pPr>
      <w:r>
        <w:t xml:space="preserve">The amendment </w:t>
      </w:r>
      <w:r w:rsidR="003054C3">
        <w:t xml:space="preserve">made by the 1999 Act </w:t>
      </w:r>
      <w:r>
        <w:t>was to sub-section (2), which</w:t>
      </w:r>
      <w:r w:rsidR="001B7952">
        <w:t xml:space="preserve"> had originally begun with the same words of exception as section </w:t>
      </w:r>
      <w:r w:rsidR="00B8522E">
        <w:t xml:space="preserve">44 (4) </w:t>
      </w:r>
      <w:r w:rsidR="00591E6E">
        <w:t>–</w:t>
      </w:r>
      <w:r w:rsidR="00817E66">
        <w:t xml:space="preserve"> see para</w:t>
      </w:r>
      <w:r w:rsidR="00A248FA">
        <w:t>s</w:t>
      </w:r>
      <w:r w:rsidR="00817E66">
        <w:t xml:space="preserve">. </w:t>
      </w:r>
      <w:r w:rsidR="00A248FA">
        <w:t>17-</w:t>
      </w:r>
      <w:r w:rsidR="00817E66">
        <w:t>18</w:t>
      </w:r>
      <w:r w:rsidR="003054C3">
        <w:t xml:space="preserve"> above</w:t>
      </w:r>
      <w:r w:rsidR="000B64A3">
        <w:t>.</w:t>
      </w:r>
      <w:r w:rsidR="004409A7">
        <w:t xml:space="preserve">  I will refer to acts or omissions falling within the terms of sub-section (1) as “whistleblower detriments”.</w:t>
      </w:r>
    </w:p>
    <w:p w:rsidR="00CE4D4E" w:rsidRDefault="007C5AA3" w:rsidP="00763FDB">
      <w:pPr>
        <w:pStyle w:val="ParaLevel1"/>
      </w:pPr>
      <w:r>
        <w:t>It will be seen that, s</w:t>
      </w:r>
      <w:r w:rsidR="00CE4D4E">
        <w:t xml:space="preserve">ubject to the important difference that the right extended to workers </w:t>
      </w:r>
      <w:r w:rsidR="00EA2944">
        <w:t xml:space="preserve">(in the extended sense – see sub-section (3)) </w:t>
      </w:r>
      <w:r w:rsidR="00CE4D4E">
        <w:t xml:space="preserve">and not just employees, section 47B </w:t>
      </w:r>
      <w:r w:rsidR="00AE5E26">
        <w:t xml:space="preserve">follows the same pattern as the </w:t>
      </w:r>
      <w:r w:rsidR="003F6E05">
        <w:t>other substantive provisions of Part V.  In particular, section 47B (2)</w:t>
      </w:r>
      <w:r w:rsidR="000B64A3">
        <w:t>,</w:t>
      </w:r>
      <w:r w:rsidR="003F6E05">
        <w:t xml:space="preserve"> both in its original form and </w:t>
      </w:r>
      <w:r w:rsidR="000B64A3">
        <w:t>a</w:t>
      </w:r>
      <w:r w:rsidR="00C260C2">
        <w:t>s amended shortly afterwards, is in substantially iden</w:t>
      </w:r>
      <w:r w:rsidR="007266D4">
        <w:t>tical terms to section 44 (4).  (I</w:t>
      </w:r>
      <w:r w:rsidR="00C260C2">
        <w:t xml:space="preserve">n so far as the wording is </w:t>
      </w:r>
      <w:r w:rsidR="00687543">
        <w:t>rather more elabo</w:t>
      </w:r>
      <w:r w:rsidR="00802CEE">
        <w:t>rate</w:t>
      </w:r>
      <w:r w:rsidR="00687543">
        <w:t xml:space="preserve">, that simply </w:t>
      </w:r>
      <w:r w:rsidR="00C260C2">
        <w:t>reflect</w:t>
      </w:r>
      <w:r w:rsidR="00687543">
        <w:t>s</w:t>
      </w:r>
      <w:r w:rsidR="00C260C2">
        <w:t xml:space="preserve"> the fact that </w:t>
      </w:r>
      <w:r w:rsidR="00802CEE">
        <w:t>an anti-overlap provision with Part X is unnecessary in the case of workers who are not employees</w:t>
      </w:r>
      <w:r w:rsidR="004B6E15">
        <w:t>,</w:t>
      </w:r>
      <w:r w:rsidR="00802CEE">
        <w:t xml:space="preserve"> because they have no unfair dismissal rights.</w:t>
      </w:r>
      <w:r w:rsidR="007266D4">
        <w:t>)</w:t>
      </w:r>
      <w:r w:rsidR="002E227B">
        <w:t xml:space="preserve"> </w:t>
      </w:r>
      <w:r w:rsidR="00B011A2">
        <w:t xml:space="preserve"> </w:t>
      </w:r>
      <w:r w:rsidR="002E227B">
        <w:t xml:space="preserve">As will appear, it is on the meaning and effect of </w:t>
      </w:r>
      <w:r w:rsidR="00B011A2">
        <w:t>this sub-</w:t>
      </w:r>
      <w:r w:rsidR="00E30621">
        <w:t xml:space="preserve">section </w:t>
      </w:r>
      <w:r w:rsidR="002E227B">
        <w:t>that the main issue in this appeal turns.</w:t>
      </w:r>
      <w:r w:rsidR="00E30621">
        <w:t xml:space="preserve"> </w:t>
      </w:r>
      <w:r w:rsidR="00802CEE">
        <w:t xml:space="preserve"> </w:t>
      </w:r>
      <w:r w:rsidR="000B64A3">
        <w:t xml:space="preserve"> </w:t>
      </w:r>
    </w:p>
    <w:p w:rsidR="0001633A" w:rsidRPr="00412D34" w:rsidRDefault="00A20993" w:rsidP="00763FDB">
      <w:pPr>
        <w:pStyle w:val="ParaLevel1"/>
      </w:pPr>
      <w:r>
        <w:t xml:space="preserve">The introduction of section 47B required changes </w:t>
      </w:r>
      <w:r w:rsidR="00834A99">
        <w:t>to sections 48 and 49</w:t>
      </w:r>
      <w:r w:rsidR="00367013">
        <w:t xml:space="preserve">.  </w:t>
      </w:r>
      <w:r w:rsidR="00A76C64">
        <w:t>As regards s</w:t>
      </w:r>
      <w:r w:rsidR="00D14E3C">
        <w:t xml:space="preserve">ection 48 </w:t>
      </w:r>
      <w:r w:rsidR="00A76C64">
        <w:t>I need only set out sub-section (1A), which reads:</w:t>
      </w:r>
    </w:p>
    <w:p w:rsidR="0009019C" w:rsidRPr="00412D34" w:rsidRDefault="00412D34" w:rsidP="00763FDB">
      <w:pPr>
        <w:pStyle w:val="NormalWeb"/>
        <w:shd w:val="clear" w:color="auto" w:fill="FFFFFF"/>
        <w:spacing w:before="0" w:beforeAutospacing="0" w:after="0" w:afterAutospacing="0"/>
        <w:ind w:left="1418" w:right="793"/>
        <w:jc w:val="both"/>
        <w:rPr>
          <w:rFonts w:ascii="Times New Roman" w:hAnsi="Times New Roman"/>
          <w:color w:val="000000"/>
          <w:sz w:val="24"/>
          <w:szCs w:val="24"/>
        </w:rPr>
      </w:pPr>
      <w:r>
        <w:rPr>
          <w:rFonts w:ascii="Times New Roman" w:hAnsi="Times New Roman"/>
          <w:color w:val="000000"/>
          <w:sz w:val="24"/>
          <w:szCs w:val="24"/>
        </w:rPr>
        <w:t>“</w:t>
      </w:r>
      <w:r w:rsidR="0001633A" w:rsidRPr="005D716F">
        <w:rPr>
          <w:rFonts w:ascii="Times New Roman" w:hAnsi="Times New Roman"/>
          <w:color w:val="000000"/>
          <w:sz w:val="24"/>
          <w:szCs w:val="24"/>
        </w:rPr>
        <w:t>A worker may present a complaint to an employment tribunal that he has been subjected to a detriment in contravention of section 47B.</w:t>
      </w:r>
      <w:r w:rsidR="00676215" w:rsidRPr="00412D34">
        <w:rPr>
          <w:color w:val="000000"/>
          <w:sz w:val="24"/>
          <w:szCs w:val="24"/>
          <w:shd w:val="clear" w:color="auto" w:fill="FFFFFF"/>
        </w:rPr>
        <w:t>”</w:t>
      </w:r>
    </w:p>
    <w:p w:rsidR="00F52A4C" w:rsidRPr="00F52A4C" w:rsidRDefault="00F52A4C" w:rsidP="00763FDB">
      <w:pPr>
        <w:pStyle w:val="ParaLevel1"/>
      </w:pPr>
      <w:r>
        <w:t>The only substantial change to section 49 was the addition of a sub-section (6) in the following terms:</w:t>
      </w:r>
    </w:p>
    <w:p w:rsidR="00F52A4C" w:rsidRDefault="00F52A4C" w:rsidP="00763FDB">
      <w:pPr>
        <w:pStyle w:val="NormalWeb"/>
        <w:shd w:val="clear" w:color="auto" w:fill="FFFFFF"/>
        <w:spacing w:before="0" w:beforeAutospacing="0" w:after="0" w:afterAutospacing="0"/>
        <w:ind w:left="1418" w:right="793"/>
        <w:jc w:val="both"/>
        <w:rPr>
          <w:rFonts w:ascii="Times New Roman" w:hAnsi="Times New Roman"/>
          <w:color w:val="000000"/>
          <w:sz w:val="24"/>
          <w:szCs w:val="24"/>
        </w:rPr>
      </w:pPr>
      <w:r>
        <w:rPr>
          <w:rFonts w:ascii="Times New Roman" w:hAnsi="Times New Roman"/>
          <w:color w:val="000000"/>
          <w:sz w:val="24"/>
          <w:szCs w:val="24"/>
        </w:rPr>
        <w:t xml:space="preserve">“Where – </w:t>
      </w:r>
    </w:p>
    <w:p w:rsidR="00F52A4C" w:rsidRPr="00570FDE" w:rsidRDefault="00F52A4C" w:rsidP="00763FDB">
      <w:pPr>
        <w:pStyle w:val="NormalWeb"/>
        <w:shd w:val="clear" w:color="auto" w:fill="FFFFFF"/>
        <w:spacing w:before="0" w:beforeAutospacing="0" w:after="0" w:afterAutospacing="0"/>
        <w:ind w:left="1418" w:right="793"/>
        <w:jc w:val="both"/>
        <w:rPr>
          <w:rFonts w:ascii="Times New Roman" w:hAnsi="Times New Roman"/>
          <w:color w:val="000000"/>
          <w:sz w:val="24"/>
          <w:szCs w:val="24"/>
        </w:rPr>
      </w:pPr>
    </w:p>
    <w:p w:rsidR="00F52A4C" w:rsidRDefault="00F52A4C" w:rsidP="00763FDB">
      <w:pPr>
        <w:pStyle w:val="NormalWeb"/>
        <w:shd w:val="clear" w:color="auto" w:fill="FFFFFF"/>
        <w:spacing w:before="0" w:beforeAutospacing="0" w:after="0" w:afterAutospacing="0"/>
        <w:ind w:left="1985" w:right="794" w:hanging="567"/>
        <w:jc w:val="both"/>
        <w:rPr>
          <w:rFonts w:ascii="Times New Roman" w:hAnsi="Times New Roman"/>
          <w:color w:val="000000"/>
          <w:sz w:val="24"/>
          <w:szCs w:val="24"/>
        </w:rPr>
      </w:pPr>
      <w:r w:rsidRPr="00570FDE">
        <w:rPr>
          <w:rFonts w:ascii="Times New Roman" w:hAnsi="Times New Roman"/>
          <w:color w:val="000000"/>
          <w:sz w:val="24"/>
          <w:szCs w:val="24"/>
        </w:rPr>
        <w:t xml:space="preserve">(a) </w:t>
      </w:r>
      <w:r>
        <w:rPr>
          <w:rFonts w:ascii="Times New Roman" w:hAnsi="Times New Roman"/>
          <w:color w:val="000000"/>
          <w:sz w:val="24"/>
          <w:szCs w:val="24"/>
        </w:rPr>
        <w:tab/>
      </w:r>
      <w:r w:rsidRPr="00570FDE">
        <w:rPr>
          <w:rFonts w:ascii="Times New Roman" w:hAnsi="Times New Roman"/>
          <w:color w:val="000000"/>
          <w:sz w:val="24"/>
          <w:szCs w:val="24"/>
        </w:rPr>
        <w:t>the complaint is made under </w:t>
      </w:r>
      <w:r w:rsidRPr="007202B7">
        <w:rPr>
          <w:rFonts w:ascii="Times New Roman" w:hAnsi="Times New Roman"/>
          <w:color w:val="000000"/>
          <w:sz w:val="24"/>
          <w:szCs w:val="24"/>
        </w:rPr>
        <w:t>section 48(1A)</w:t>
      </w:r>
      <w:r w:rsidRPr="00570FDE">
        <w:rPr>
          <w:rFonts w:ascii="Times New Roman" w:hAnsi="Times New Roman"/>
          <w:color w:val="000000"/>
          <w:sz w:val="24"/>
          <w:szCs w:val="24"/>
        </w:rPr>
        <w:t>,</w:t>
      </w:r>
    </w:p>
    <w:p w:rsidR="00F52A4C" w:rsidRPr="00570FDE" w:rsidRDefault="00F52A4C" w:rsidP="00763FDB">
      <w:pPr>
        <w:pStyle w:val="NormalWeb"/>
        <w:shd w:val="clear" w:color="auto" w:fill="FFFFFF"/>
        <w:spacing w:before="0" w:beforeAutospacing="0" w:after="0" w:afterAutospacing="0"/>
        <w:ind w:left="1985" w:right="794" w:hanging="567"/>
        <w:jc w:val="both"/>
        <w:rPr>
          <w:rFonts w:ascii="Times New Roman" w:hAnsi="Times New Roman"/>
          <w:color w:val="000000"/>
          <w:sz w:val="24"/>
          <w:szCs w:val="24"/>
        </w:rPr>
      </w:pPr>
    </w:p>
    <w:p w:rsidR="00F52A4C" w:rsidRDefault="00F52A4C" w:rsidP="00763FDB">
      <w:pPr>
        <w:pStyle w:val="NormalWeb"/>
        <w:shd w:val="clear" w:color="auto" w:fill="FFFFFF"/>
        <w:spacing w:before="0" w:beforeAutospacing="0" w:after="0" w:afterAutospacing="0"/>
        <w:ind w:left="1985" w:right="794" w:hanging="567"/>
        <w:jc w:val="both"/>
        <w:rPr>
          <w:rFonts w:ascii="Times New Roman" w:hAnsi="Times New Roman"/>
          <w:color w:val="000000"/>
          <w:sz w:val="24"/>
          <w:szCs w:val="24"/>
        </w:rPr>
      </w:pPr>
      <w:r w:rsidRPr="00570FDE">
        <w:rPr>
          <w:rFonts w:ascii="Times New Roman" w:hAnsi="Times New Roman"/>
          <w:color w:val="000000"/>
          <w:sz w:val="24"/>
          <w:szCs w:val="24"/>
        </w:rPr>
        <w:t>(b)</w:t>
      </w:r>
      <w:r>
        <w:rPr>
          <w:rFonts w:ascii="Times New Roman" w:hAnsi="Times New Roman"/>
          <w:color w:val="000000"/>
          <w:sz w:val="24"/>
          <w:szCs w:val="24"/>
        </w:rPr>
        <w:tab/>
      </w:r>
      <w:r w:rsidRPr="00570FDE">
        <w:rPr>
          <w:rFonts w:ascii="Times New Roman" w:hAnsi="Times New Roman"/>
          <w:color w:val="000000"/>
          <w:sz w:val="24"/>
          <w:szCs w:val="24"/>
        </w:rPr>
        <w:t>the detriment to which the worker is subjected is the termination of his worker's contract, and</w:t>
      </w:r>
    </w:p>
    <w:p w:rsidR="00F52A4C" w:rsidRPr="00570FDE" w:rsidRDefault="00F52A4C" w:rsidP="00763FDB">
      <w:pPr>
        <w:pStyle w:val="NormalWeb"/>
        <w:shd w:val="clear" w:color="auto" w:fill="FFFFFF"/>
        <w:spacing w:before="0" w:beforeAutospacing="0" w:after="0" w:afterAutospacing="0"/>
        <w:ind w:left="1985" w:right="794" w:hanging="567"/>
        <w:jc w:val="both"/>
        <w:rPr>
          <w:rFonts w:ascii="Times New Roman" w:hAnsi="Times New Roman"/>
          <w:color w:val="000000"/>
          <w:sz w:val="24"/>
          <w:szCs w:val="24"/>
        </w:rPr>
      </w:pPr>
    </w:p>
    <w:p w:rsidR="00F52A4C" w:rsidRPr="00570FDE" w:rsidRDefault="00F52A4C" w:rsidP="00763FDB">
      <w:pPr>
        <w:pStyle w:val="NormalWeb"/>
        <w:shd w:val="clear" w:color="auto" w:fill="FFFFFF"/>
        <w:spacing w:before="0" w:beforeAutospacing="0" w:after="0" w:afterAutospacing="0"/>
        <w:ind w:left="1985" w:right="794" w:hanging="567"/>
        <w:jc w:val="both"/>
        <w:rPr>
          <w:rFonts w:ascii="Times New Roman" w:hAnsi="Times New Roman"/>
          <w:color w:val="000000"/>
          <w:sz w:val="24"/>
          <w:szCs w:val="24"/>
        </w:rPr>
      </w:pPr>
      <w:r w:rsidRPr="00570FDE">
        <w:rPr>
          <w:rFonts w:ascii="Times New Roman" w:hAnsi="Times New Roman"/>
          <w:color w:val="000000"/>
          <w:sz w:val="24"/>
          <w:szCs w:val="24"/>
        </w:rPr>
        <w:t xml:space="preserve">(c) </w:t>
      </w:r>
      <w:r>
        <w:rPr>
          <w:rFonts w:ascii="Times New Roman" w:hAnsi="Times New Roman"/>
          <w:color w:val="000000"/>
          <w:sz w:val="24"/>
          <w:szCs w:val="24"/>
        </w:rPr>
        <w:tab/>
      </w:r>
      <w:r w:rsidRPr="00570FDE">
        <w:rPr>
          <w:rFonts w:ascii="Times New Roman" w:hAnsi="Times New Roman"/>
          <w:color w:val="000000"/>
          <w:sz w:val="24"/>
          <w:szCs w:val="24"/>
        </w:rPr>
        <w:t>that contract is not a contract of employment,</w:t>
      </w:r>
    </w:p>
    <w:p w:rsidR="00F52A4C" w:rsidRDefault="00F52A4C" w:rsidP="00763FDB">
      <w:pPr>
        <w:pStyle w:val="ParaLevel1"/>
        <w:numPr>
          <w:ilvl w:val="0"/>
          <w:numId w:val="0"/>
        </w:numPr>
        <w:ind w:left="1418" w:right="793"/>
      </w:pPr>
      <w:r w:rsidRPr="00570FDE">
        <w:rPr>
          <w:color w:val="000000"/>
          <w:szCs w:val="24"/>
        </w:rPr>
        <w:t>any compensation must not exceed the compensation that would be payable under </w:t>
      </w:r>
      <w:r w:rsidRPr="007202B7">
        <w:rPr>
          <w:color w:val="000000"/>
          <w:szCs w:val="24"/>
        </w:rPr>
        <w:t>Chapter II of Part X</w:t>
      </w:r>
      <w:r w:rsidRPr="00570FDE">
        <w:rPr>
          <w:color w:val="000000"/>
          <w:szCs w:val="24"/>
        </w:rPr>
        <w:t> if the worker had been an employee and had been dismissed for the reason specified in </w:t>
      </w:r>
      <w:r w:rsidRPr="007202B7">
        <w:rPr>
          <w:color w:val="000000"/>
          <w:szCs w:val="24"/>
        </w:rPr>
        <w:t>section 103A</w:t>
      </w:r>
      <w:r w:rsidRPr="00570FDE">
        <w:rPr>
          <w:color w:val="000000"/>
          <w:szCs w:val="24"/>
        </w:rPr>
        <w:t>.</w:t>
      </w:r>
      <w:r>
        <w:rPr>
          <w:color w:val="000000"/>
          <w:szCs w:val="24"/>
        </w:rPr>
        <w:t>”</w:t>
      </w:r>
    </w:p>
    <w:p w:rsidR="004A3920" w:rsidRDefault="008068B0" w:rsidP="00763FDB">
      <w:pPr>
        <w:pStyle w:val="ParaLevel1"/>
        <w:numPr>
          <w:ilvl w:val="0"/>
          <w:numId w:val="0"/>
        </w:numPr>
        <w:ind w:left="720"/>
      </w:pPr>
      <w:r>
        <w:t>There was some discussion before us about the purpose of</w:t>
      </w:r>
      <w:r w:rsidR="00543958">
        <w:t xml:space="preserve"> </w:t>
      </w:r>
      <w:r w:rsidR="00A11344">
        <w:t>this sub-section</w:t>
      </w:r>
      <w:r w:rsidR="008D6F45">
        <w:t xml:space="preserve">. </w:t>
      </w:r>
      <w:r w:rsidR="003C2522">
        <w:t xml:space="preserve"> </w:t>
      </w:r>
      <w:r w:rsidR="00935C51">
        <w:t xml:space="preserve">The </w:t>
      </w:r>
      <w:r w:rsidR="00C87D60">
        <w:t>background is</w:t>
      </w:r>
      <w:r w:rsidR="00935C51">
        <w:t xml:space="preserve"> </w:t>
      </w:r>
      <w:r w:rsidR="00160605">
        <w:t xml:space="preserve">of course </w:t>
      </w:r>
      <w:r w:rsidR="00935C51">
        <w:t>that</w:t>
      </w:r>
      <w:r w:rsidR="004974D5">
        <w:t>,</w:t>
      </w:r>
      <w:r w:rsidR="003C2522">
        <w:t xml:space="preserve"> </w:t>
      </w:r>
      <w:r w:rsidR="004974D5">
        <w:t xml:space="preserve">since </w:t>
      </w:r>
      <w:r w:rsidR="003C2522">
        <w:t>s</w:t>
      </w:r>
      <w:r w:rsidR="00AB213F">
        <w:t xml:space="preserve">ection 47B (2) applies only to employees, </w:t>
      </w:r>
      <w:r w:rsidR="00864072">
        <w:t xml:space="preserve">a worker </w:t>
      </w:r>
      <w:r w:rsidR="005A2069">
        <w:t>who is</w:t>
      </w:r>
      <w:r w:rsidR="00864072">
        <w:t xml:space="preserve"> not an employee</w:t>
      </w:r>
      <w:r w:rsidR="009D3C95">
        <w:t>, and who thus has no unfair dismissal rights</w:t>
      </w:r>
      <w:r w:rsidR="003C2522">
        <w:t>,</w:t>
      </w:r>
      <w:r w:rsidR="009D3C95">
        <w:t xml:space="preserve"> </w:t>
      </w:r>
      <w:r w:rsidR="005A2069">
        <w:t xml:space="preserve">is entitled to complain of the termination </w:t>
      </w:r>
      <w:r w:rsidR="009D3C95">
        <w:t xml:space="preserve">of his or her contract on whistleblower grounds as a detriment </w:t>
      </w:r>
      <w:r w:rsidR="005A2069">
        <w:t xml:space="preserve">under Part </w:t>
      </w:r>
      <w:r w:rsidR="004974D5">
        <w:t>V</w:t>
      </w:r>
      <w:r w:rsidR="00D164CB">
        <w:t xml:space="preserve"> (just as fixed-term employees </w:t>
      </w:r>
      <w:r w:rsidR="0009498B">
        <w:t>initially were</w:t>
      </w:r>
      <w:r w:rsidR="00D164CB">
        <w:t xml:space="preserve"> –</w:t>
      </w:r>
      <w:r w:rsidR="000578C3">
        <w:t xml:space="preserve"> see para. </w:t>
      </w:r>
      <w:r w:rsidR="00817E66">
        <w:t>18</w:t>
      </w:r>
      <w:r w:rsidR="00D164CB">
        <w:t xml:space="preserve"> above)</w:t>
      </w:r>
      <w:r w:rsidR="004974D5">
        <w:t xml:space="preserve">.  The </w:t>
      </w:r>
      <w:r w:rsidR="007C6A40">
        <w:t xml:space="preserve">effect </w:t>
      </w:r>
      <w:r w:rsidR="004974D5">
        <w:t xml:space="preserve">of sub-section (6) </w:t>
      </w:r>
      <w:r w:rsidR="008034D5">
        <w:t>is to ensure that</w:t>
      </w:r>
      <w:r w:rsidR="0049238B">
        <w:t xml:space="preserve"> </w:t>
      </w:r>
      <w:r w:rsidR="00477C14">
        <w:t xml:space="preserve">in any such claim </w:t>
      </w:r>
      <w:r w:rsidR="004974D5">
        <w:t>the worker will</w:t>
      </w:r>
      <w:r w:rsidR="0049238B">
        <w:t xml:space="preserve"> n</w:t>
      </w:r>
      <w:r w:rsidR="00817E66">
        <w:t>ot recover any more than if he or she</w:t>
      </w:r>
      <w:r w:rsidR="0049238B">
        <w:t xml:space="preserve"> had been an empl</w:t>
      </w:r>
      <w:r w:rsidR="000505A1">
        <w:t>oyee dismissed on such grounds</w:t>
      </w:r>
      <w:r w:rsidR="00F962A6">
        <w:t xml:space="preserve">.  </w:t>
      </w:r>
      <w:r w:rsidR="00C45B6C">
        <w:t>On the face of it such a provision might be though</w:t>
      </w:r>
      <w:r w:rsidR="008428D9">
        <w:t>t to be unnecessary</w:t>
      </w:r>
      <w:r w:rsidR="004B6E15">
        <w:t>,</w:t>
      </w:r>
      <w:r w:rsidR="008428D9">
        <w:t xml:space="preserve"> since, as no</w:t>
      </w:r>
      <w:r w:rsidR="00C45B6C">
        <w:t xml:space="preserve">ted </w:t>
      </w:r>
      <w:r w:rsidR="008428D9">
        <w:t>above, the provisions governing</w:t>
      </w:r>
      <w:r w:rsidR="005839D2">
        <w:t xml:space="preserve"> compensation </w:t>
      </w:r>
      <w:r w:rsidR="00C87D60">
        <w:t xml:space="preserve">under Part </w:t>
      </w:r>
      <w:r w:rsidR="008428D9">
        <w:t xml:space="preserve">V and Part X are </w:t>
      </w:r>
      <w:r w:rsidR="00D164CB">
        <w:t>very similar</w:t>
      </w:r>
      <w:r w:rsidR="00C87D60">
        <w:t xml:space="preserve">; but it seems </w:t>
      </w:r>
      <w:r w:rsidR="003354A3">
        <w:t xml:space="preserve">likely </w:t>
      </w:r>
      <w:r w:rsidR="00BA5C42">
        <w:t xml:space="preserve">that it </w:t>
      </w:r>
      <w:r w:rsidR="00D04958">
        <w:t xml:space="preserve">was initially </w:t>
      </w:r>
      <w:r w:rsidR="00BA5C42">
        <w:t xml:space="preserve">included so as to ensure that workers in such a case were subject to the statutory cap </w:t>
      </w:r>
      <w:r w:rsidR="00BD5EAE">
        <w:t xml:space="preserve">which </w:t>
      </w:r>
      <w:r w:rsidR="000063D9">
        <w:t>at that point</w:t>
      </w:r>
      <w:r w:rsidR="00BD5EAE">
        <w:t xml:space="preserve"> applied to compensation for claims under section 103A</w:t>
      </w:r>
      <w:r w:rsidR="0009498B">
        <w:t>.</w:t>
      </w:r>
      <w:r w:rsidR="00C37B85">
        <w:t xml:space="preserve">  </w:t>
      </w:r>
      <w:r w:rsidR="003354A3">
        <w:t>But if that is the explanation</w:t>
      </w:r>
      <w:r w:rsidR="00C37B85">
        <w:t xml:space="preserve"> </w:t>
      </w:r>
      <w:r w:rsidR="003354A3">
        <w:t>the question arises of</w:t>
      </w:r>
      <w:r w:rsidR="00C37B85">
        <w:t xml:space="preserve"> why it was</w:t>
      </w:r>
      <w:r w:rsidR="00BD5EAE">
        <w:t xml:space="preserve"> </w:t>
      </w:r>
      <w:r w:rsidR="00C37B85">
        <w:t>retained when the</w:t>
      </w:r>
      <w:r w:rsidR="00BD5EAE">
        <w:t xml:space="preserve"> cap was removed</w:t>
      </w:r>
      <w:r w:rsidR="00817E66">
        <w:t xml:space="preserve"> shortly afterwards (see para. 22</w:t>
      </w:r>
      <w:r w:rsidR="005F6918">
        <w:t xml:space="preserve"> above)</w:t>
      </w:r>
      <w:r w:rsidR="003354A3">
        <w:t>.  P</w:t>
      </w:r>
      <w:r w:rsidR="00C37B85">
        <w:t>resumably</w:t>
      </w:r>
      <w:r w:rsidR="005F6918">
        <w:t xml:space="preserve"> the draftsman either did not notice that </w:t>
      </w:r>
      <w:r w:rsidR="00C37B85">
        <w:t>it</w:t>
      </w:r>
      <w:r w:rsidR="005F6918">
        <w:t xml:space="preserve"> was no longer necessary or decided to retain it on </w:t>
      </w:r>
      <w:r w:rsidR="00471C0C">
        <w:t>the</w:t>
      </w:r>
      <w:r w:rsidR="005F6918">
        <w:t xml:space="preserve"> bas</w:t>
      </w:r>
      <w:r w:rsidR="00471C0C">
        <w:t>is that the principle</w:t>
      </w:r>
      <w:r w:rsidR="004A3920">
        <w:t xml:space="preserve"> was correct and that there might be idiosyncratic cases where it would be valuable for it to be </w:t>
      </w:r>
      <w:r w:rsidR="00477C14">
        <w:t xml:space="preserve">expressly </w:t>
      </w:r>
      <w:r w:rsidR="004A3920">
        <w:t>stated</w:t>
      </w:r>
      <w:r w:rsidR="0028638C">
        <w:rPr>
          <w:rStyle w:val="FootnoteReference"/>
        </w:rPr>
        <w:footnoteReference w:id="3"/>
      </w:r>
      <w:r w:rsidR="0028638C">
        <w:t>.</w:t>
      </w:r>
    </w:p>
    <w:p w:rsidR="007D37E5" w:rsidRPr="007D37E5" w:rsidRDefault="002828D3" w:rsidP="00763FDB">
      <w:pPr>
        <w:pStyle w:val="ParaLevel1"/>
        <w:rPr>
          <w:lang w:eastAsia="en-GB"/>
        </w:rPr>
      </w:pPr>
      <w:r>
        <w:rPr>
          <w:lang w:eastAsia="en-GB"/>
        </w:rPr>
        <w:t>Although, as noted above, the</w:t>
      </w:r>
      <w:r w:rsidR="00420052">
        <w:rPr>
          <w:lang w:eastAsia="en-GB"/>
        </w:rPr>
        <w:t xml:space="preserve"> compensation provisions of Part V and Part X are </w:t>
      </w:r>
      <w:r w:rsidR="00000DF6">
        <w:rPr>
          <w:lang w:eastAsia="en-GB"/>
        </w:rPr>
        <w:t xml:space="preserve">in most respects </w:t>
      </w:r>
      <w:r w:rsidR="00420052">
        <w:rPr>
          <w:lang w:eastAsia="en-GB"/>
        </w:rPr>
        <w:t xml:space="preserve">identical, </w:t>
      </w:r>
      <w:r w:rsidR="00CB2559">
        <w:rPr>
          <w:lang w:eastAsia="en-GB"/>
        </w:rPr>
        <w:t xml:space="preserve">I should note </w:t>
      </w:r>
      <w:r w:rsidR="00420052">
        <w:rPr>
          <w:lang w:eastAsia="en-GB"/>
        </w:rPr>
        <w:t xml:space="preserve">one divergence </w:t>
      </w:r>
      <w:r w:rsidR="00B71E73">
        <w:rPr>
          <w:lang w:eastAsia="en-GB"/>
        </w:rPr>
        <w:t xml:space="preserve">which </w:t>
      </w:r>
      <w:r w:rsidR="00817E66">
        <w:rPr>
          <w:lang w:eastAsia="en-GB"/>
        </w:rPr>
        <w:t>has eme</w:t>
      </w:r>
      <w:r w:rsidR="00420052">
        <w:rPr>
          <w:lang w:eastAsia="en-GB"/>
        </w:rPr>
        <w:t>r</w:t>
      </w:r>
      <w:r w:rsidR="00817E66">
        <w:rPr>
          <w:lang w:eastAsia="en-GB"/>
        </w:rPr>
        <w:t>g</w:t>
      </w:r>
      <w:r w:rsidR="00420052">
        <w:rPr>
          <w:lang w:eastAsia="en-GB"/>
        </w:rPr>
        <w:t>ed in the case-law.  It has from the early days of the unfair dismissal legislation be</w:t>
      </w:r>
      <w:r w:rsidR="00000DF6">
        <w:rPr>
          <w:lang w:eastAsia="en-GB"/>
        </w:rPr>
        <w:t>en held, and it was confirmed by the House of Lords</w:t>
      </w:r>
      <w:r w:rsidR="00420052">
        <w:rPr>
          <w:lang w:eastAsia="en-GB"/>
        </w:rPr>
        <w:t xml:space="preserve"> </w:t>
      </w:r>
      <w:r w:rsidR="00420052">
        <w:rPr>
          <w:rFonts w:eastAsia="Calibri"/>
        </w:rPr>
        <w:t xml:space="preserve">in </w:t>
      </w:r>
      <w:r w:rsidR="00420052" w:rsidRPr="005338E0">
        <w:rPr>
          <w:i/>
          <w:color w:val="000000"/>
          <w:szCs w:val="24"/>
        </w:rPr>
        <w:t>Dunnachie v Kingston-upon-Hull Council</w:t>
      </w:r>
      <w:r w:rsidR="00420052" w:rsidRPr="005338E0">
        <w:rPr>
          <w:color w:val="000000"/>
          <w:szCs w:val="24"/>
        </w:rPr>
        <w:t xml:space="preserve"> [2004] UKHL 36, [2005] 1 AC 226</w:t>
      </w:r>
      <w:r w:rsidR="00000DF6">
        <w:rPr>
          <w:color w:val="000000"/>
          <w:szCs w:val="24"/>
        </w:rPr>
        <w:t xml:space="preserve">, that the reference to “loss” in what is now section 123 (1) refers only to pecuniary loss and thus excludes </w:t>
      </w:r>
      <w:r w:rsidR="001C21F0">
        <w:rPr>
          <w:color w:val="000000"/>
          <w:szCs w:val="24"/>
        </w:rPr>
        <w:t xml:space="preserve">injury to feelings.  However, </w:t>
      </w:r>
      <w:r w:rsidR="00892012">
        <w:rPr>
          <w:color w:val="000000"/>
          <w:szCs w:val="24"/>
        </w:rPr>
        <w:t xml:space="preserve">there is EAT authority, reviewed by HHJ Ansell </w:t>
      </w:r>
      <w:r w:rsidR="001C21F0">
        <w:rPr>
          <w:color w:val="000000"/>
          <w:szCs w:val="24"/>
        </w:rPr>
        <w:t xml:space="preserve">in </w:t>
      </w:r>
      <w:r w:rsidR="001234F8" w:rsidRPr="001234F8">
        <w:rPr>
          <w:i/>
        </w:rPr>
        <w:t>Virgo Fidelis Senior School v</w:t>
      </w:r>
      <w:r w:rsidR="007051F0" w:rsidRPr="001234F8">
        <w:rPr>
          <w:i/>
        </w:rPr>
        <w:t xml:space="preserve"> Boyle</w:t>
      </w:r>
      <w:r w:rsidR="007051F0">
        <w:t xml:space="preserve"> [2004] UKEAT 0644/03, </w:t>
      </w:r>
      <w:r w:rsidR="007051F0" w:rsidRPr="007051F0">
        <w:t xml:space="preserve">[2004] ICR 1210, </w:t>
      </w:r>
      <w:r w:rsidR="00892012">
        <w:t xml:space="preserve">to the effect </w:t>
      </w:r>
      <w:r w:rsidR="001B1820">
        <w:t xml:space="preserve">that </w:t>
      </w:r>
      <w:r w:rsidR="00934FFA">
        <w:t xml:space="preserve">“loss” in section 49 </w:t>
      </w:r>
      <w:r w:rsidR="001978AC">
        <w:t xml:space="preserve">(2) has a wider meaning which </w:t>
      </w:r>
      <w:r w:rsidR="001978AC" w:rsidRPr="00817E66">
        <w:rPr>
          <w:i/>
        </w:rPr>
        <w:t>do</w:t>
      </w:r>
      <w:r w:rsidR="00817E66" w:rsidRPr="00817E66">
        <w:rPr>
          <w:i/>
        </w:rPr>
        <w:t>es</w:t>
      </w:r>
      <w:r w:rsidR="00817E66">
        <w:t xml:space="preserve"> extend to injury to feelings; and such awards are almost invariab</w:t>
      </w:r>
      <w:r w:rsidR="001978AC">
        <w:t>ly made in whistleblower cases</w:t>
      </w:r>
      <w:r w:rsidR="00817E66">
        <w:t xml:space="preserve">.  </w:t>
      </w:r>
      <w:r w:rsidR="009A5469">
        <w:t>For reasons which will appear</w:t>
      </w:r>
      <w:r w:rsidR="00817E66">
        <w:t>,</w:t>
      </w:r>
      <w:r w:rsidR="009A5469">
        <w:t xml:space="preserve"> the existence of that distinction </w:t>
      </w:r>
      <w:r w:rsidR="004B6E15">
        <w:t>is relevant</w:t>
      </w:r>
      <w:r w:rsidR="009A5469">
        <w:t xml:space="preserve"> to the issues which we have to decide.  </w:t>
      </w:r>
      <w:r w:rsidR="001C61AA">
        <w:t>Mr Carr submitted that it was questionable wheth</w:t>
      </w:r>
      <w:r w:rsidR="00D023D4">
        <w:t xml:space="preserve">er </w:t>
      </w:r>
      <w:r w:rsidR="009A5469">
        <w:t xml:space="preserve">the </w:t>
      </w:r>
      <w:r w:rsidR="009A5469" w:rsidRPr="00276D47">
        <w:rPr>
          <w:i/>
        </w:rPr>
        <w:t>Virgo Fidelis</w:t>
      </w:r>
      <w:r w:rsidR="00817E66">
        <w:t xml:space="preserve"> line of authority is</w:t>
      </w:r>
      <w:r w:rsidR="009A5469">
        <w:t xml:space="preserve"> correct</w:t>
      </w:r>
      <w:r w:rsidR="00EA40BE">
        <w:t xml:space="preserve">, </w:t>
      </w:r>
      <w:r w:rsidR="001C61AA">
        <w:t xml:space="preserve">and </w:t>
      </w:r>
      <w:r w:rsidR="00EA40BE">
        <w:t xml:space="preserve">he </w:t>
      </w:r>
      <w:r w:rsidR="001C61AA">
        <w:t xml:space="preserve">drew attention to the recent decision of this Court in </w:t>
      </w:r>
      <w:r w:rsidR="007D37E5" w:rsidRPr="007D37E5">
        <w:rPr>
          <w:i/>
        </w:rPr>
        <w:t>Gomes v Higher Level Care Ltd</w:t>
      </w:r>
      <w:r w:rsidR="007D37E5" w:rsidRPr="007D37E5">
        <w:t xml:space="preserve"> [2018] EWCA Civ 41</w:t>
      </w:r>
      <w:r w:rsidR="007D37E5">
        <w:t>, [2018] IRLR 440</w:t>
      </w:r>
      <w:r w:rsidR="00CD7E6B">
        <w:t>, which concerned similar provisions in the Working Time Regulations</w:t>
      </w:r>
      <w:r w:rsidR="00D023D4">
        <w:t xml:space="preserve"> 1998.  </w:t>
      </w:r>
      <w:r w:rsidR="009E7877">
        <w:t>He did not, however, invite us to deci</w:t>
      </w:r>
      <w:r w:rsidR="00290AC8">
        <w:t>d</w:t>
      </w:r>
      <w:r w:rsidR="009E7877">
        <w:t>e the point</w:t>
      </w:r>
      <w:r w:rsidR="00290AC8">
        <w:t>, and both Mr Stilitz and Ms Jolly submitted that we should not</w:t>
      </w:r>
      <w:r w:rsidR="00334660">
        <w:t xml:space="preserve"> </w:t>
      </w:r>
      <w:r w:rsidR="000801FD">
        <w:t>do so</w:t>
      </w:r>
      <w:r w:rsidR="00290AC8">
        <w:t>: it had not been raised in either the ET or the EAT (</w:t>
      </w:r>
      <w:r w:rsidR="00334660">
        <w:t xml:space="preserve">and </w:t>
      </w:r>
      <w:r w:rsidR="00011F74">
        <w:t xml:space="preserve">the ET </w:t>
      </w:r>
      <w:r w:rsidR="00334660">
        <w:t xml:space="preserve">had </w:t>
      </w:r>
      <w:r w:rsidR="0072185E">
        <w:t xml:space="preserve">indeed made an award </w:t>
      </w:r>
      <w:r w:rsidR="00E435D7">
        <w:t xml:space="preserve">of injury to feelings </w:t>
      </w:r>
      <w:r w:rsidR="00817E66">
        <w:t>(see para. 39</w:t>
      </w:r>
      <w:r w:rsidR="0072185E">
        <w:t xml:space="preserve"> below)</w:t>
      </w:r>
      <w:r w:rsidR="00334660">
        <w:t>).  In those circumstances we heard no detailed argument</w:t>
      </w:r>
      <w:r w:rsidR="00817E66">
        <w:t>,</w:t>
      </w:r>
      <w:r w:rsidR="00334660">
        <w:t xml:space="preserve"> </w:t>
      </w:r>
      <w:r w:rsidR="00FF0B28">
        <w:t>and we should proceed</w:t>
      </w:r>
      <w:r w:rsidR="00244BD4">
        <w:t xml:space="preserve"> on the assumption</w:t>
      </w:r>
      <w:r w:rsidR="00FF0B28">
        <w:t xml:space="preserve"> </w:t>
      </w:r>
      <w:r w:rsidR="00244BD4">
        <w:t xml:space="preserve">that </w:t>
      </w:r>
      <w:r w:rsidR="00D023D4" w:rsidRPr="00E435D7">
        <w:rPr>
          <w:i/>
        </w:rPr>
        <w:t>Virgo Fidelis</w:t>
      </w:r>
      <w:r w:rsidR="00244BD4">
        <w:t xml:space="preserve"> wa</w:t>
      </w:r>
      <w:r w:rsidR="00D023D4">
        <w:t>s correct</w:t>
      </w:r>
      <w:r w:rsidR="00244BD4">
        <w:t>ly decided</w:t>
      </w:r>
      <w:r w:rsidR="00FF0B28">
        <w:t xml:space="preserve">. </w:t>
      </w:r>
    </w:p>
    <w:p w:rsidR="00456FB7" w:rsidRPr="00E9133A" w:rsidRDefault="00456FB7" w:rsidP="00763FDB">
      <w:pPr>
        <w:pStyle w:val="ParaHeading"/>
        <w:rPr>
          <w:u w:val="single"/>
        </w:rPr>
      </w:pPr>
      <w:r>
        <w:rPr>
          <w:u w:val="single"/>
        </w:rPr>
        <w:t>THE CHANGES INTRODUCED IN</w:t>
      </w:r>
      <w:r w:rsidRPr="00E9133A">
        <w:rPr>
          <w:u w:val="single"/>
        </w:rPr>
        <w:t xml:space="preserve"> 2013</w:t>
      </w:r>
    </w:p>
    <w:p w:rsidR="0066552C" w:rsidRDefault="00954653" w:rsidP="00763FDB">
      <w:pPr>
        <w:pStyle w:val="ParaLevel1"/>
        <w:rPr>
          <w:lang w:eastAsia="en-GB"/>
        </w:rPr>
      </w:pPr>
      <w:r>
        <w:rPr>
          <w:rFonts w:eastAsia="Calibri"/>
        </w:rPr>
        <w:t xml:space="preserve">The Enterprise and Regulatory Reform Act </w:t>
      </w:r>
      <w:r w:rsidR="000C2672">
        <w:rPr>
          <w:rFonts w:eastAsia="Calibri"/>
        </w:rPr>
        <w:t>2013</w:t>
      </w:r>
      <w:r>
        <w:rPr>
          <w:rFonts w:eastAsia="Calibri"/>
        </w:rPr>
        <w:t>, which came into effect on 25 June 2013</w:t>
      </w:r>
      <w:r w:rsidR="000C2672">
        <w:rPr>
          <w:rFonts w:eastAsia="Calibri"/>
        </w:rPr>
        <w:t>,</w:t>
      </w:r>
      <w:r>
        <w:rPr>
          <w:rFonts w:eastAsia="Calibri"/>
        </w:rPr>
        <w:t xml:space="preserve"> </w:t>
      </w:r>
      <w:r w:rsidR="00782B5E">
        <w:rPr>
          <w:lang w:eastAsia="en-GB"/>
        </w:rPr>
        <w:t>amended</w:t>
      </w:r>
      <w:r w:rsidR="00527CEE">
        <w:rPr>
          <w:lang w:eastAsia="en-GB"/>
        </w:rPr>
        <w:t xml:space="preserve"> section 47B</w:t>
      </w:r>
      <w:r w:rsidR="00782B5E">
        <w:rPr>
          <w:lang w:eastAsia="en-GB"/>
        </w:rPr>
        <w:t xml:space="preserve"> </w:t>
      </w:r>
      <w:r w:rsidR="00D83764">
        <w:rPr>
          <w:lang w:eastAsia="en-GB"/>
        </w:rPr>
        <w:t>in response to the decision of this Court i</w:t>
      </w:r>
      <w:r w:rsidR="0066552C">
        <w:rPr>
          <w:lang w:eastAsia="en-GB"/>
        </w:rPr>
        <w:t xml:space="preserve">n </w:t>
      </w:r>
      <w:r w:rsidR="0066552C">
        <w:rPr>
          <w:i/>
          <w:lang w:eastAsia="en-GB"/>
        </w:rPr>
        <w:t>Fecitt v NHS Manchester</w:t>
      </w:r>
      <w:r w:rsidR="0066552C">
        <w:rPr>
          <w:lang w:eastAsia="en-GB"/>
        </w:rPr>
        <w:t xml:space="preserve"> [2011</w:t>
      </w:r>
      <w:r w:rsidR="00817E66">
        <w:rPr>
          <w:lang w:eastAsia="en-GB"/>
        </w:rPr>
        <w:t>] EWCA Civ 1190, [2012] ICR 372</w:t>
      </w:r>
      <w:r w:rsidR="00D83764">
        <w:rPr>
          <w:lang w:eastAsia="en-GB"/>
        </w:rPr>
        <w:t>.  T</w:t>
      </w:r>
      <w:r w:rsidR="0066552C">
        <w:rPr>
          <w:lang w:eastAsia="en-GB"/>
        </w:rPr>
        <w:t xml:space="preserve">he claimants </w:t>
      </w:r>
      <w:r w:rsidR="00D83764">
        <w:rPr>
          <w:lang w:eastAsia="en-GB"/>
        </w:rPr>
        <w:t xml:space="preserve">in that case </w:t>
      </w:r>
      <w:r w:rsidR="0066552C">
        <w:rPr>
          <w:lang w:eastAsia="en-GB"/>
        </w:rPr>
        <w:t>were nurses employed by an NHS entity who were subjected to “un</w:t>
      </w:r>
      <w:r w:rsidR="00D83764">
        <w:rPr>
          <w:lang w:eastAsia="en-GB"/>
        </w:rPr>
        <w:t>pleasant behaviour” by fellow-</w:t>
      </w:r>
      <w:r w:rsidR="0066552C">
        <w:rPr>
          <w:lang w:eastAsia="en-GB"/>
        </w:rPr>
        <w:t>employees as a result of</w:t>
      </w:r>
      <w:r w:rsidR="00A714F0">
        <w:rPr>
          <w:lang w:eastAsia="en-GB"/>
        </w:rPr>
        <w:t xml:space="preserve"> having made protected disclosures.  </w:t>
      </w:r>
      <w:r w:rsidR="00D83764">
        <w:rPr>
          <w:lang w:eastAsia="en-GB"/>
        </w:rPr>
        <w:t xml:space="preserve">The </w:t>
      </w:r>
      <w:r w:rsidR="00A714F0">
        <w:rPr>
          <w:lang w:eastAsia="en-GB"/>
        </w:rPr>
        <w:t xml:space="preserve">EAT held that the conduct in question was in breach of section 47B and that </w:t>
      </w:r>
      <w:r w:rsidR="00F87274">
        <w:rPr>
          <w:lang w:eastAsia="en-GB"/>
        </w:rPr>
        <w:t xml:space="preserve">the </w:t>
      </w:r>
      <w:r w:rsidR="00A714F0">
        <w:rPr>
          <w:lang w:eastAsia="en-GB"/>
        </w:rPr>
        <w:t>employer was vicariously liable to the claimants in respect of it.  This Court overturned that decision.</w:t>
      </w:r>
      <w:r w:rsidR="0066552C">
        <w:rPr>
          <w:lang w:eastAsia="en-GB"/>
        </w:rPr>
        <w:t xml:space="preserve"> </w:t>
      </w:r>
      <w:r w:rsidR="00A714F0">
        <w:rPr>
          <w:lang w:eastAsia="en-GB"/>
        </w:rPr>
        <w:t xml:space="preserve"> </w:t>
      </w:r>
      <w:r w:rsidR="0066552C">
        <w:rPr>
          <w:lang w:eastAsia="en-GB"/>
        </w:rPr>
        <w:t>Elias LJ observed at para. 64 (p. 375 E-F) that under section 47B:</w:t>
      </w:r>
    </w:p>
    <w:p w:rsidR="00E9133A" w:rsidRDefault="00E9133A" w:rsidP="00763FDB">
      <w:pPr>
        <w:pStyle w:val="Quote"/>
      </w:pPr>
      <w:bookmarkStart w:id="1" w:name="para6"/>
      <w:r>
        <w:t>“… the worker is protected only against acts or omissions </w:t>
      </w:r>
      <w:r>
        <w:rPr>
          <w:i/>
          <w:iCs/>
        </w:rPr>
        <w:t xml:space="preserve">by his employer </w:t>
      </w:r>
      <w:r>
        <w:t>[original emphasis]</w:t>
      </w:r>
      <w:r>
        <w:rPr>
          <w:i/>
          <w:iCs/>
        </w:rPr>
        <w:t>.</w:t>
      </w:r>
      <w:r>
        <w:t> There is no separate protection afforded to acts of victimisation perpetrated by fellow workers.</w:t>
      </w:r>
      <w:bookmarkEnd w:id="1"/>
      <w:r>
        <w:t>”</w:t>
      </w:r>
    </w:p>
    <w:p w:rsidR="0066552C" w:rsidRDefault="00E9133A" w:rsidP="00763FDB">
      <w:pPr>
        <w:pStyle w:val="ParaNoNumber"/>
        <w:ind w:left="720"/>
        <w:rPr>
          <w:lang w:eastAsia="en-GB"/>
        </w:rPr>
      </w:pPr>
      <w:r>
        <w:rPr>
          <w:lang w:eastAsia="en-GB"/>
        </w:rPr>
        <w:t>At para. 33 (p. 381 F-G), he said:</w:t>
      </w:r>
    </w:p>
    <w:p w:rsidR="00E9133A" w:rsidRDefault="00E9133A" w:rsidP="00763FDB">
      <w:pPr>
        <w:pStyle w:val="Quote"/>
        <w:rPr>
          <w:rFonts w:eastAsia="Calibri"/>
        </w:rPr>
      </w:pPr>
      <w:bookmarkStart w:id="2" w:name="para33"/>
      <w:r w:rsidRPr="00E9133A">
        <w:rPr>
          <w:rFonts w:eastAsia="Calibri"/>
        </w:rPr>
        <w:t xml:space="preserve">“Absent any legal wrong by the employee, there is no room for the doctrine [of vicarious liability] to operate. Here, in contrast to the discrimination legislation where individuals may be personally liable for their acts of victimisation taken against those who pursue discrimination claims, there is no provision making it unlawful for workers to victimise whistleblowers. It was solely on the ground of such alleged victimisation </w:t>
      </w:r>
      <w:r w:rsidR="00F97A42">
        <w:rPr>
          <w:rFonts w:eastAsia="Calibri"/>
        </w:rPr>
        <w:t>that it was sought to make the e</w:t>
      </w:r>
      <w:r w:rsidRPr="00E9133A">
        <w:rPr>
          <w:rFonts w:eastAsia="Calibri"/>
        </w:rPr>
        <w:t>mployer vicariously liable, and therefore the claim could not succeed</w:t>
      </w:r>
      <w:bookmarkEnd w:id="2"/>
      <w:r w:rsidRPr="00E9133A">
        <w:rPr>
          <w:rFonts w:eastAsia="Calibri"/>
        </w:rPr>
        <w:t>.”</w:t>
      </w:r>
    </w:p>
    <w:p w:rsidR="00E9133A" w:rsidRDefault="00817E66" w:rsidP="00763FDB">
      <w:pPr>
        <w:pStyle w:val="ParaLevel1"/>
        <w:rPr>
          <w:rFonts w:eastAsia="Calibri"/>
        </w:rPr>
      </w:pPr>
      <w:r>
        <w:rPr>
          <w:rFonts w:eastAsia="Calibri"/>
        </w:rPr>
        <w:t>Against that background s</w:t>
      </w:r>
      <w:r w:rsidR="00CB7F0B">
        <w:rPr>
          <w:rFonts w:eastAsia="Calibri"/>
        </w:rPr>
        <w:t xml:space="preserve">ection 19 of </w:t>
      </w:r>
      <w:r w:rsidR="000C2672">
        <w:rPr>
          <w:rFonts w:eastAsia="Calibri"/>
        </w:rPr>
        <w:t>the 2013 Act</w:t>
      </w:r>
      <w:r w:rsidR="00CB7F0B">
        <w:rPr>
          <w:rFonts w:eastAsia="Calibri"/>
        </w:rPr>
        <w:t xml:space="preserve"> </w:t>
      </w:r>
      <w:r w:rsidR="00F6145E">
        <w:rPr>
          <w:rFonts w:eastAsia="Calibri"/>
        </w:rPr>
        <w:t>amended s</w:t>
      </w:r>
      <w:r w:rsidR="00E9133A">
        <w:rPr>
          <w:rFonts w:eastAsia="Calibri"/>
        </w:rPr>
        <w:t xml:space="preserve">ection 47B </w:t>
      </w:r>
      <w:r w:rsidR="00F6145E">
        <w:rPr>
          <w:rFonts w:eastAsia="Calibri"/>
        </w:rPr>
        <w:t xml:space="preserve">so that it </w:t>
      </w:r>
      <w:r w:rsidR="000C2672">
        <w:rPr>
          <w:rFonts w:eastAsia="Calibri"/>
        </w:rPr>
        <w:t xml:space="preserve">now </w:t>
      </w:r>
      <w:r w:rsidR="00E9133A">
        <w:rPr>
          <w:rFonts w:eastAsia="Calibri"/>
        </w:rPr>
        <w:t>read</w:t>
      </w:r>
      <w:r w:rsidR="000C2672">
        <w:rPr>
          <w:rFonts w:eastAsia="Calibri"/>
        </w:rPr>
        <w:t>s</w:t>
      </w:r>
      <w:r w:rsidR="00E9133A">
        <w:rPr>
          <w:rFonts w:eastAsia="Calibri"/>
        </w:rPr>
        <w:t xml:space="preserve"> as follows:</w:t>
      </w:r>
    </w:p>
    <w:p w:rsidR="00E9133A" w:rsidRDefault="00E9133A" w:rsidP="00763FDB">
      <w:pPr>
        <w:pStyle w:val="Quote"/>
        <w:rPr>
          <w:lang w:eastAsia="en-GB"/>
        </w:rPr>
      </w:pPr>
      <w:r>
        <w:rPr>
          <w:lang w:eastAsia="en-GB"/>
        </w:rPr>
        <w:t>“(1) A worker has the right not to be subjected to any detriment by any act, or any deliberate failure to act, by his employer done on the ground that the worker has made a protected disclosure.</w:t>
      </w:r>
    </w:p>
    <w:p w:rsidR="00E9133A" w:rsidRDefault="00E9133A" w:rsidP="00763FDB">
      <w:pPr>
        <w:pStyle w:val="Quote"/>
        <w:rPr>
          <w:lang w:eastAsia="en-GB"/>
        </w:rPr>
      </w:pPr>
      <w:r>
        <w:rPr>
          <w:lang w:eastAsia="en-GB"/>
        </w:rPr>
        <w:t>(1A) A worker (“W”) has the right not to be subjected to any detriment by any act, or any deliberate failure to act, done—</w:t>
      </w:r>
    </w:p>
    <w:p w:rsidR="00E9133A" w:rsidRDefault="00E9133A" w:rsidP="00763FDB">
      <w:pPr>
        <w:pStyle w:val="Quote"/>
        <w:ind w:left="2007" w:hanging="567"/>
        <w:rPr>
          <w:lang w:eastAsia="en-GB"/>
        </w:rPr>
      </w:pPr>
      <w:r>
        <w:rPr>
          <w:lang w:eastAsia="en-GB"/>
        </w:rPr>
        <w:t xml:space="preserve">(a) </w:t>
      </w:r>
      <w:r w:rsidR="000433E5">
        <w:rPr>
          <w:lang w:eastAsia="en-GB"/>
        </w:rPr>
        <w:tab/>
      </w:r>
      <w:r>
        <w:rPr>
          <w:lang w:eastAsia="en-GB"/>
        </w:rPr>
        <w:t>by another worker of W's employer in the course of that other worker's employment, or</w:t>
      </w:r>
    </w:p>
    <w:p w:rsidR="00E9133A" w:rsidRDefault="00E9133A" w:rsidP="00763FDB">
      <w:pPr>
        <w:pStyle w:val="Quote"/>
        <w:ind w:left="2007" w:hanging="567"/>
        <w:rPr>
          <w:lang w:eastAsia="en-GB"/>
        </w:rPr>
      </w:pPr>
      <w:r>
        <w:rPr>
          <w:lang w:eastAsia="en-GB"/>
        </w:rPr>
        <w:t xml:space="preserve">(b) </w:t>
      </w:r>
      <w:r w:rsidR="000433E5">
        <w:rPr>
          <w:lang w:eastAsia="en-GB"/>
        </w:rPr>
        <w:tab/>
      </w:r>
      <w:r>
        <w:rPr>
          <w:lang w:eastAsia="en-GB"/>
        </w:rPr>
        <w:t>by an agent of W's employer with the employer's authority, on the ground that W has made a protected disclosure.</w:t>
      </w:r>
    </w:p>
    <w:p w:rsidR="00E9133A" w:rsidRDefault="00E9133A" w:rsidP="00763FDB">
      <w:pPr>
        <w:pStyle w:val="Quote"/>
        <w:rPr>
          <w:lang w:eastAsia="en-GB"/>
        </w:rPr>
      </w:pPr>
      <w:r>
        <w:rPr>
          <w:lang w:eastAsia="en-GB"/>
        </w:rPr>
        <w:t>(1B) Where a worker is subjected to detriment by anything done as mentioned in subsection (1A), that thing is treated as also done by the worker's employer.</w:t>
      </w:r>
    </w:p>
    <w:p w:rsidR="00E9133A" w:rsidRDefault="00E9133A" w:rsidP="00763FDB">
      <w:pPr>
        <w:pStyle w:val="Quote"/>
        <w:rPr>
          <w:lang w:eastAsia="en-GB"/>
        </w:rPr>
      </w:pPr>
      <w:r>
        <w:rPr>
          <w:lang w:eastAsia="en-GB"/>
        </w:rPr>
        <w:t>(1C) For the purposes of subsection (1B), it is immaterial whether the thing is done with the knowledge or approval of the worker's employer.</w:t>
      </w:r>
    </w:p>
    <w:p w:rsidR="00E9133A" w:rsidRDefault="00E9133A" w:rsidP="00763FDB">
      <w:pPr>
        <w:pStyle w:val="Quote"/>
        <w:rPr>
          <w:lang w:eastAsia="en-GB"/>
        </w:rPr>
      </w:pPr>
      <w:r>
        <w:rPr>
          <w:lang w:eastAsia="en-GB"/>
        </w:rPr>
        <w:t>(1D) In proceedings against W's employer in respect of anything alleged to have been done as mentioned in subsection (1A)(a), it is a defence for the employer to show that the employer took all reasonable steps to prevent the other worker</w:t>
      </w:r>
      <w:r w:rsidR="00817E66">
        <w:rPr>
          <w:lang w:eastAsia="en-GB"/>
        </w:rPr>
        <w:t xml:space="preserve"> </w:t>
      </w:r>
      <w:r>
        <w:rPr>
          <w:lang w:eastAsia="en-GB"/>
        </w:rPr>
        <w:t>—</w:t>
      </w:r>
    </w:p>
    <w:p w:rsidR="00E9133A" w:rsidRDefault="00E9133A" w:rsidP="00763FDB">
      <w:pPr>
        <w:pStyle w:val="Quote"/>
        <w:ind w:left="2007" w:hanging="567"/>
        <w:rPr>
          <w:lang w:eastAsia="en-GB"/>
        </w:rPr>
      </w:pPr>
      <w:r>
        <w:rPr>
          <w:lang w:eastAsia="en-GB"/>
        </w:rPr>
        <w:t xml:space="preserve">(a) </w:t>
      </w:r>
      <w:r w:rsidR="000433E5">
        <w:rPr>
          <w:lang w:eastAsia="en-GB"/>
        </w:rPr>
        <w:tab/>
      </w:r>
      <w:r>
        <w:rPr>
          <w:lang w:eastAsia="en-GB"/>
        </w:rPr>
        <w:t>from doing that thing, or</w:t>
      </w:r>
    </w:p>
    <w:p w:rsidR="00E9133A" w:rsidRDefault="00E9133A" w:rsidP="00763FDB">
      <w:pPr>
        <w:pStyle w:val="Quote"/>
        <w:ind w:left="2007" w:hanging="567"/>
        <w:rPr>
          <w:lang w:eastAsia="en-GB"/>
        </w:rPr>
      </w:pPr>
      <w:r>
        <w:rPr>
          <w:lang w:eastAsia="en-GB"/>
        </w:rPr>
        <w:t xml:space="preserve">(b) </w:t>
      </w:r>
      <w:r w:rsidR="000433E5">
        <w:rPr>
          <w:lang w:eastAsia="en-GB"/>
        </w:rPr>
        <w:tab/>
      </w:r>
      <w:r>
        <w:rPr>
          <w:lang w:eastAsia="en-GB"/>
        </w:rPr>
        <w:t>from doing anything of that description.</w:t>
      </w:r>
    </w:p>
    <w:p w:rsidR="00E9133A" w:rsidRDefault="00E9133A" w:rsidP="00763FDB">
      <w:pPr>
        <w:pStyle w:val="Quote"/>
        <w:rPr>
          <w:lang w:eastAsia="en-GB"/>
        </w:rPr>
      </w:pPr>
      <w:r>
        <w:rPr>
          <w:lang w:eastAsia="en-GB"/>
        </w:rPr>
        <w:t xml:space="preserve">(1E) </w:t>
      </w:r>
      <w:r w:rsidR="003F1ECA">
        <w:rPr>
          <w:lang w:eastAsia="en-GB"/>
        </w:rPr>
        <w:t xml:space="preserve"> </w:t>
      </w:r>
      <w:r>
        <w:rPr>
          <w:lang w:eastAsia="en-GB"/>
        </w:rPr>
        <w:t>A worker or agent of W's employer is not liable by reason of subsection (1A) for doing something that subjects W to detriment if</w:t>
      </w:r>
      <w:r w:rsidR="00817E66">
        <w:rPr>
          <w:lang w:eastAsia="en-GB"/>
        </w:rPr>
        <w:t xml:space="preserve"> </w:t>
      </w:r>
      <w:r>
        <w:rPr>
          <w:lang w:eastAsia="en-GB"/>
        </w:rPr>
        <w:t>—</w:t>
      </w:r>
    </w:p>
    <w:p w:rsidR="00E9133A" w:rsidRDefault="00E9133A" w:rsidP="00763FDB">
      <w:pPr>
        <w:pStyle w:val="Quote"/>
        <w:ind w:left="2007" w:hanging="567"/>
        <w:rPr>
          <w:lang w:eastAsia="en-GB"/>
        </w:rPr>
      </w:pPr>
      <w:r>
        <w:rPr>
          <w:lang w:eastAsia="en-GB"/>
        </w:rPr>
        <w:t xml:space="preserve">(a) </w:t>
      </w:r>
      <w:r w:rsidR="000433E5">
        <w:rPr>
          <w:lang w:eastAsia="en-GB"/>
        </w:rPr>
        <w:tab/>
      </w:r>
      <w:r>
        <w:rPr>
          <w:lang w:eastAsia="en-GB"/>
        </w:rPr>
        <w:t>the worker or agent does that thing in reliance on a statement by the employer that doing it does not contravene this Act, and</w:t>
      </w:r>
    </w:p>
    <w:p w:rsidR="00E9133A" w:rsidRDefault="00E9133A" w:rsidP="00763FDB">
      <w:pPr>
        <w:pStyle w:val="Quote"/>
        <w:ind w:left="2007" w:hanging="567"/>
        <w:rPr>
          <w:lang w:eastAsia="en-GB"/>
        </w:rPr>
      </w:pPr>
      <w:r>
        <w:rPr>
          <w:lang w:eastAsia="en-GB"/>
        </w:rPr>
        <w:t xml:space="preserve">(b) </w:t>
      </w:r>
      <w:r w:rsidR="000433E5">
        <w:rPr>
          <w:lang w:eastAsia="en-GB"/>
        </w:rPr>
        <w:tab/>
      </w:r>
      <w:r>
        <w:rPr>
          <w:lang w:eastAsia="en-GB"/>
        </w:rPr>
        <w:t>it is reasonable for the worker or agent to rely on the statement.</w:t>
      </w:r>
    </w:p>
    <w:p w:rsidR="00913AA6" w:rsidRDefault="00E9133A" w:rsidP="00763FDB">
      <w:pPr>
        <w:pStyle w:val="Quote"/>
        <w:rPr>
          <w:lang w:eastAsia="en-GB"/>
        </w:rPr>
      </w:pPr>
      <w:r>
        <w:rPr>
          <w:lang w:eastAsia="en-GB"/>
        </w:rPr>
        <w:t>But this does not prevent the employer from being liable by reason of subsection (1B).</w:t>
      </w:r>
    </w:p>
    <w:p w:rsidR="00913AA6" w:rsidRPr="0066552C" w:rsidRDefault="00913AA6" w:rsidP="00763FDB">
      <w:pPr>
        <w:pStyle w:val="ParaLevel1"/>
        <w:numPr>
          <w:ilvl w:val="0"/>
          <w:numId w:val="0"/>
        </w:numPr>
        <w:ind w:left="1418" w:right="793"/>
        <w:rPr>
          <w:lang w:eastAsia="en-GB"/>
        </w:rPr>
      </w:pPr>
      <w:r w:rsidRPr="0066552C">
        <w:rPr>
          <w:lang w:eastAsia="en-GB"/>
        </w:rPr>
        <w:t xml:space="preserve">(2) </w:t>
      </w:r>
      <w:r>
        <w:rPr>
          <w:lang w:eastAsia="en-GB"/>
        </w:rPr>
        <w:t xml:space="preserve">   </w:t>
      </w:r>
      <w:r w:rsidRPr="0066552C">
        <w:rPr>
          <w:lang w:eastAsia="en-GB"/>
        </w:rPr>
        <w:t>This section does not apply where</w:t>
      </w:r>
      <w:r w:rsidR="00817E66">
        <w:rPr>
          <w:lang w:eastAsia="en-GB"/>
        </w:rPr>
        <w:t xml:space="preserve"> </w:t>
      </w:r>
      <w:r w:rsidRPr="0066552C">
        <w:rPr>
          <w:lang w:eastAsia="en-GB"/>
        </w:rPr>
        <w:t xml:space="preserve">— </w:t>
      </w:r>
    </w:p>
    <w:p w:rsidR="00913AA6" w:rsidRPr="0066552C" w:rsidRDefault="00913AA6" w:rsidP="00763FDB">
      <w:pPr>
        <w:pStyle w:val="ParaLevel1"/>
        <w:numPr>
          <w:ilvl w:val="0"/>
          <w:numId w:val="0"/>
        </w:numPr>
        <w:ind w:left="1985" w:right="794" w:hanging="567"/>
        <w:rPr>
          <w:lang w:eastAsia="en-GB"/>
        </w:rPr>
      </w:pPr>
      <w:r w:rsidRPr="0066552C">
        <w:rPr>
          <w:lang w:eastAsia="en-GB"/>
        </w:rPr>
        <w:t xml:space="preserve">(a) </w:t>
      </w:r>
      <w:r>
        <w:rPr>
          <w:lang w:eastAsia="en-GB"/>
        </w:rPr>
        <w:tab/>
      </w:r>
      <w:r w:rsidRPr="0066552C">
        <w:rPr>
          <w:lang w:eastAsia="en-GB"/>
        </w:rPr>
        <w:t>the worker is an employee, and</w:t>
      </w:r>
    </w:p>
    <w:p w:rsidR="00913AA6" w:rsidRPr="0066552C" w:rsidRDefault="00913AA6" w:rsidP="00763FDB">
      <w:pPr>
        <w:pStyle w:val="ParaLevel1"/>
        <w:numPr>
          <w:ilvl w:val="0"/>
          <w:numId w:val="0"/>
        </w:numPr>
        <w:ind w:left="1985" w:right="794" w:hanging="567"/>
        <w:rPr>
          <w:lang w:eastAsia="en-GB"/>
        </w:rPr>
      </w:pPr>
      <w:r w:rsidRPr="0066552C">
        <w:rPr>
          <w:lang w:eastAsia="en-GB"/>
        </w:rPr>
        <w:t xml:space="preserve">(b) </w:t>
      </w:r>
      <w:r>
        <w:rPr>
          <w:lang w:eastAsia="en-GB"/>
        </w:rPr>
        <w:tab/>
      </w:r>
      <w:r w:rsidRPr="0066552C">
        <w:rPr>
          <w:lang w:eastAsia="en-GB"/>
        </w:rPr>
        <w:t xml:space="preserve">the detriment in question amounts to dismissal (within the meaning of Part X). </w:t>
      </w:r>
    </w:p>
    <w:p w:rsidR="00F6145E" w:rsidRPr="0029542A" w:rsidRDefault="00913AA6" w:rsidP="00763FDB">
      <w:pPr>
        <w:pStyle w:val="Quote"/>
        <w:rPr>
          <w:lang w:eastAsia="en-GB"/>
        </w:rPr>
      </w:pPr>
      <w:r w:rsidRPr="0066552C">
        <w:rPr>
          <w:lang w:eastAsia="en-GB"/>
        </w:rPr>
        <w:t xml:space="preserve">(3) </w:t>
      </w:r>
      <w:r>
        <w:rPr>
          <w:lang w:eastAsia="en-GB"/>
        </w:rPr>
        <w:t xml:space="preserve">   </w:t>
      </w:r>
      <w:r w:rsidRPr="0066552C">
        <w:rPr>
          <w:lang w:eastAsia="en-GB"/>
        </w:rPr>
        <w:t xml:space="preserve">For the purposes of this section, and of sections 48 and 49 so far as relating to this section, </w:t>
      </w:r>
      <w:r>
        <w:rPr>
          <w:iCs/>
          <w:lang w:eastAsia="en-GB"/>
        </w:rPr>
        <w:t>‘worker’</w:t>
      </w:r>
      <w:r w:rsidRPr="00DE2883">
        <w:rPr>
          <w:lang w:eastAsia="en-GB"/>
        </w:rPr>
        <w:t xml:space="preserve">, </w:t>
      </w:r>
      <w:r>
        <w:rPr>
          <w:iCs/>
          <w:lang w:eastAsia="en-GB"/>
        </w:rPr>
        <w:t>‘worker's contract’</w:t>
      </w:r>
      <w:r w:rsidRPr="00DE2883">
        <w:rPr>
          <w:lang w:eastAsia="en-GB"/>
        </w:rPr>
        <w:t xml:space="preserve">, </w:t>
      </w:r>
      <w:r>
        <w:rPr>
          <w:iCs/>
          <w:lang w:eastAsia="en-GB"/>
        </w:rPr>
        <w:t>‘employment’</w:t>
      </w:r>
      <w:r w:rsidRPr="00DE2883">
        <w:rPr>
          <w:lang w:eastAsia="en-GB"/>
        </w:rPr>
        <w:t xml:space="preserve"> and </w:t>
      </w:r>
      <w:r>
        <w:rPr>
          <w:iCs/>
          <w:lang w:eastAsia="en-GB"/>
        </w:rPr>
        <w:t>‘employer’</w:t>
      </w:r>
      <w:r w:rsidRPr="0066552C">
        <w:rPr>
          <w:lang w:eastAsia="en-GB"/>
        </w:rPr>
        <w:t xml:space="preserve"> have the extende</w:t>
      </w:r>
      <w:r>
        <w:rPr>
          <w:lang w:eastAsia="en-GB"/>
        </w:rPr>
        <w:t>d meaning given by section 43K.</w:t>
      </w:r>
      <w:r w:rsidR="00E9133A">
        <w:rPr>
          <w:lang w:eastAsia="en-GB"/>
        </w:rPr>
        <w:t>”</w:t>
      </w:r>
    </w:p>
    <w:p w:rsidR="00992B82" w:rsidRDefault="00992B82" w:rsidP="00763FDB">
      <w:pPr>
        <w:pStyle w:val="ParaLevel1"/>
        <w:rPr>
          <w:rFonts w:eastAsia="Calibri"/>
        </w:rPr>
      </w:pPr>
      <w:r>
        <w:rPr>
          <w:rFonts w:eastAsia="Calibri"/>
        </w:rPr>
        <w:t xml:space="preserve">I should spell </w:t>
      </w:r>
      <w:r w:rsidR="004B6E15">
        <w:rPr>
          <w:rFonts w:eastAsia="Calibri"/>
        </w:rPr>
        <w:t>out the essential effect of th</w:t>
      </w:r>
      <w:r>
        <w:rPr>
          <w:rFonts w:eastAsia="Calibri"/>
        </w:rPr>
        <w:t>e changes</w:t>
      </w:r>
      <w:r w:rsidR="004B6E15">
        <w:rPr>
          <w:rFonts w:eastAsia="Calibri"/>
        </w:rPr>
        <w:t xml:space="preserve"> made to section 47B by the 2013 Act</w:t>
      </w:r>
      <w:r>
        <w:rPr>
          <w:rFonts w:eastAsia="Calibri"/>
        </w:rPr>
        <w:t>:</w:t>
      </w:r>
    </w:p>
    <w:p w:rsidR="00992B82" w:rsidRDefault="00992B82" w:rsidP="00763FDB">
      <w:pPr>
        <w:pStyle w:val="ParaLevel1"/>
        <w:numPr>
          <w:ilvl w:val="0"/>
          <w:numId w:val="0"/>
        </w:numPr>
        <w:ind w:left="1287" w:hanging="567"/>
        <w:rPr>
          <w:rFonts w:eastAsia="Calibri"/>
        </w:rPr>
      </w:pPr>
      <w:r>
        <w:rPr>
          <w:rFonts w:eastAsia="Calibri"/>
        </w:rPr>
        <w:t>(1)</w:t>
      </w:r>
      <w:r>
        <w:rPr>
          <w:rFonts w:eastAsia="Calibri"/>
        </w:rPr>
        <w:tab/>
        <w:t xml:space="preserve">The starting-point is that individual co-workers are, by sub-section (1A), made </w:t>
      </w:r>
      <w:r w:rsidR="004B6E15">
        <w:rPr>
          <w:rFonts w:eastAsia="Calibri"/>
        </w:rPr>
        <w:t>person</w:t>
      </w:r>
      <w:r>
        <w:rPr>
          <w:rFonts w:eastAsia="Calibri"/>
        </w:rPr>
        <w:t xml:space="preserve">ally liable for acts of whistleblower detriment done by them.  Although the principal purpose of the legislation may have been to provide a route to vicarious liability on the part of the employer, in order to fill the lacuna identified in </w:t>
      </w:r>
      <w:r w:rsidRPr="006D2E8D">
        <w:rPr>
          <w:rFonts w:eastAsia="Calibri"/>
          <w:i/>
        </w:rPr>
        <w:t>Fecitt</w:t>
      </w:r>
      <w:r>
        <w:rPr>
          <w:rFonts w:eastAsia="Calibri"/>
        </w:rPr>
        <w:t>, the effect nevertheless is that the individual is rendered liable in his or her own right, irrespective of the liability of the employer.  That is of course the position also under the Equality Act 2010 and its predecessors, and, as I note below</w:t>
      </w:r>
      <w:r w:rsidR="004B6E15">
        <w:rPr>
          <w:rFonts w:eastAsia="Calibri"/>
        </w:rPr>
        <w:t>,</w:t>
      </w:r>
      <w:r>
        <w:rPr>
          <w:rFonts w:eastAsia="Calibri"/>
        </w:rPr>
        <w:t xml:space="preserve"> some of the following sub-sections are borrowed from that legislation.</w:t>
      </w:r>
      <w:r>
        <w:rPr>
          <w:rStyle w:val="FootnoteReference"/>
          <w:rFonts w:eastAsia="Calibri"/>
        </w:rPr>
        <w:footnoteReference w:id="4"/>
      </w:r>
      <w:r w:rsidR="004B6E15">
        <w:rPr>
          <w:rFonts w:eastAsia="Calibri"/>
        </w:rPr>
        <w:t xml:space="preserve">  But for co-workers</w:t>
      </w:r>
      <w:r>
        <w:rPr>
          <w:rFonts w:eastAsia="Calibri"/>
        </w:rPr>
        <w:t xml:space="preserve"> </w:t>
      </w:r>
      <w:r w:rsidR="004B6E15">
        <w:rPr>
          <w:rFonts w:eastAsia="Calibri"/>
        </w:rPr>
        <w:t xml:space="preserve">to be rendered personally liable </w:t>
      </w:r>
      <w:r>
        <w:rPr>
          <w:rFonts w:eastAsia="Calibri"/>
        </w:rPr>
        <w:t>is unique not only as regards Part V but more generally as regards the protections afforded by the 1996 Act.</w:t>
      </w:r>
    </w:p>
    <w:p w:rsidR="00992B82" w:rsidRDefault="00992B82" w:rsidP="00763FDB">
      <w:pPr>
        <w:pStyle w:val="ParaLevel1"/>
        <w:numPr>
          <w:ilvl w:val="0"/>
          <w:numId w:val="0"/>
        </w:numPr>
        <w:ind w:left="1287" w:hanging="567"/>
        <w:rPr>
          <w:rFonts w:eastAsia="Calibri"/>
        </w:rPr>
      </w:pPr>
      <w:r>
        <w:rPr>
          <w:rFonts w:eastAsia="Calibri"/>
        </w:rPr>
        <w:t>(2)</w:t>
      </w:r>
      <w:r>
        <w:rPr>
          <w:rFonts w:eastAsia="Calibri"/>
        </w:rPr>
        <w:tab/>
        <w:t>Sub-section (1B), glossed by sub-section (1C), creates a form of vicarious liabili</w:t>
      </w:r>
      <w:r w:rsidR="004B6E15">
        <w:rPr>
          <w:rFonts w:eastAsia="Calibri"/>
        </w:rPr>
        <w:t xml:space="preserve">ty for the employer.  But it </w:t>
      </w:r>
      <w:r>
        <w:rPr>
          <w:rFonts w:eastAsia="Calibri"/>
        </w:rPr>
        <w:t>is not absolute.  By sub-section (1D) an employer can escape liability if it shows (in short) that it took all reasonable steps to prevent the individual responsible from acting in the way complained of, in which case the claim will only succeed against that co-worker.  These provisions are substantially identical to those of section 109 of the 2010 Act.</w:t>
      </w:r>
    </w:p>
    <w:p w:rsidR="00992B82" w:rsidRDefault="00992B82" w:rsidP="00763FDB">
      <w:pPr>
        <w:pStyle w:val="ParaLevel1"/>
        <w:numPr>
          <w:ilvl w:val="0"/>
          <w:numId w:val="0"/>
        </w:numPr>
        <w:ind w:left="1287" w:hanging="567"/>
        <w:rPr>
          <w:rFonts w:eastAsia="Calibri"/>
        </w:rPr>
      </w:pPr>
      <w:r>
        <w:rPr>
          <w:rFonts w:eastAsia="Calibri"/>
        </w:rPr>
        <w:t>(3)</w:t>
      </w:r>
      <w:r>
        <w:rPr>
          <w:rFonts w:eastAsia="Calibri"/>
        </w:rPr>
        <w:tab/>
        <w:t>Sub-section (1E) affords a defence to the individual in the limited circumstances there identified: this too is adopted directly from the anti-discrimination legislation – see section 110 (3) of the 2010 Act.</w:t>
      </w:r>
    </w:p>
    <w:p w:rsidR="00992B82" w:rsidRDefault="00992B82" w:rsidP="00763FDB">
      <w:pPr>
        <w:pStyle w:val="ParaNoNumber"/>
        <w:ind w:left="1287" w:hanging="578"/>
        <w:rPr>
          <w:rFonts w:eastAsia="Calibri"/>
        </w:rPr>
      </w:pPr>
      <w:r>
        <w:rPr>
          <w:rFonts w:eastAsia="Calibri"/>
        </w:rPr>
        <w:t>(4)</w:t>
      </w:r>
      <w:r>
        <w:rPr>
          <w:rFonts w:eastAsia="Calibri"/>
        </w:rPr>
        <w:tab/>
        <w:t xml:space="preserve">As will be seen, sub-sections (2) and (3) are unchanged.  Sub-section (2) thus applies to the terms introduced by amendment just as much as to sub-section (1). </w:t>
      </w:r>
    </w:p>
    <w:p w:rsidR="008D0F20" w:rsidRPr="006C4726" w:rsidRDefault="00E25E5D" w:rsidP="00763FDB">
      <w:pPr>
        <w:pStyle w:val="ParaLevel1"/>
        <w:tabs>
          <w:tab w:val="clear" w:pos="720"/>
        </w:tabs>
        <w:rPr>
          <w:rFonts w:eastAsia="Calibri"/>
          <w:szCs w:val="24"/>
        </w:rPr>
      </w:pPr>
      <w:r w:rsidRPr="006C4726">
        <w:rPr>
          <w:rFonts w:eastAsia="Calibri"/>
          <w:szCs w:val="24"/>
        </w:rPr>
        <w:t xml:space="preserve">The introduction of individual liability required a consequential change to the remedy provisions, so that they applied also </w:t>
      </w:r>
      <w:r w:rsidR="00711849" w:rsidRPr="006C4726">
        <w:rPr>
          <w:rFonts w:eastAsia="Calibri"/>
          <w:szCs w:val="24"/>
        </w:rPr>
        <w:t xml:space="preserve">to claims against </w:t>
      </w:r>
      <w:r w:rsidR="00817E66">
        <w:rPr>
          <w:rFonts w:eastAsia="Calibri"/>
          <w:szCs w:val="24"/>
        </w:rPr>
        <w:t>co-workers (or agents).</w:t>
      </w:r>
      <w:r w:rsidR="00711849" w:rsidRPr="006C4726">
        <w:rPr>
          <w:rFonts w:eastAsia="Calibri"/>
          <w:szCs w:val="24"/>
        </w:rPr>
        <w:t xml:space="preserve">  </w:t>
      </w:r>
      <w:r w:rsidR="006C4726" w:rsidRPr="006C4726">
        <w:rPr>
          <w:rFonts w:eastAsia="Calibri"/>
          <w:szCs w:val="24"/>
        </w:rPr>
        <w:t>S</w:t>
      </w:r>
      <w:r w:rsidRPr="006C4726">
        <w:rPr>
          <w:rFonts w:eastAsia="Calibri"/>
          <w:szCs w:val="24"/>
        </w:rPr>
        <w:t>ection 48 (5)</w:t>
      </w:r>
      <w:r w:rsidR="00711849" w:rsidRPr="006C4726">
        <w:rPr>
          <w:rFonts w:eastAsia="Calibri"/>
          <w:szCs w:val="24"/>
        </w:rPr>
        <w:t xml:space="preserve"> was </w:t>
      </w:r>
      <w:r w:rsidR="006C4726" w:rsidRPr="006C4726">
        <w:rPr>
          <w:rFonts w:eastAsia="Calibri"/>
          <w:szCs w:val="24"/>
        </w:rPr>
        <w:t>amended so as to read</w:t>
      </w:r>
      <w:r w:rsidR="00C35E74">
        <w:rPr>
          <w:rFonts w:eastAsia="Calibri"/>
          <w:szCs w:val="24"/>
        </w:rPr>
        <w:t xml:space="preserve"> (so far as material)</w:t>
      </w:r>
      <w:r w:rsidR="006C4726" w:rsidRPr="006C4726">
        <w:rPr>
          <w:rFonts w:eastAsia="Calibri"/>
          <w:szCs w:val="24"/>
        </w:rPr>
        <w:t xml:space="preserve">: </w:t>
      </w:r>
    </w:p>
    <w:p w:rsidR="00711849" w:rsidRPr="006C4726" w:rsidRDefault="002A3017" w:rsidP="00763FDB">
      <w:pPr>
        <w:pStyle w:val="ParaLevel1"/>
        <w:numPr>
          <w:ilvl w:val="0"/>
          <w:numId w:val="0"/>
        </w:numPr>
        <w:ind w:left="1418" w:right="793"/>
        <w:rPr>
          <w:szCs w:val="24"/>
        </w:rPr>
      </w:pPr>
      <w:r w:rsidRPr="006C4726">
        <w:rPr>
          <w:szCs w:val="24"/>
        </w:rPr>
        <w:t>“</w:t>
      </w:r>
      <w:r w:rsidR="00711849" w:rsidRPr="006C4726">
        <w:rPr>
          <w:szCs w:val="24"/>
        </w:rPr>
        <w:t>In this section and section 49</w:t>
      </w:r>
      <w:r w:rsidRPr="006C4726">
        <w:rPr>
          <w:szCs w:val="24"/>
        </w:rPr>
        <w:t xml:space="preserve"> any reference to the employer includes</w:t>
      </w:r>
    </w:p>
    <w:p w:rsidR="00711849" w:rsidRPr="006C4726" w:rsidRDefault="00711849" w:rsidP="00763FDB">
      <w:pPr>
        <w:pStyle w:val="ParaLevel1"/>
        <w:numPr>
          <w:ilvl w:val="0"/>
          <w:numId w:val="0"/>
        </w:numPr>
        <w:ind w:left="1985" w:right="794" w:hanging="567"/>
        <w:rPr>
          <w:szCs w:val="24"/>
        </w:rPr>
      </w:pPr>
      <w:r w:rsidRPr="006C4726">
        <w:rPr>
          <w:szCs w:val="24"/>
        </w:rPr>
        <w:t xml:space="preserve">(a) </w:t>
      </w:r>
      <w:r w:rsidR="00314C1B">
        <w:rPr>
          <w:szCs w:val="24"/>
        </w:rPr>
        <w:tab/>
        <w:t>…</w:t>
      </w:r>
    </w:p>
    <w:p w:rsidR="00711849" w:rsidRPr="00C35E74" w:rsidRDefault="00711849" w:rsidP="00763FDB">
      <w:pPr>
        <w:pStyle w:val="ParaLevel1"/>
        <w:numPr>
          <w:ilvl w:val="0"/>
          <w:numId w:val="0"/>
        </w:numPr>
        <w:ind w:left="1985" w:right="794" w:hanging="567"/>
        <w:rPr>
          <w:szCs w:val="24"/>
        </w:rPr>
      </w:pPr>
      <w:r w:rsidRPr="006C4726">
        <w:rPr>
          <w:szCs w:val="24"/>
        </w:rPr>
        <w:t xml:space="preserve">(b) </w:t>
      </w:r>
      <w:r w:rsidR="00314C1B">
        <w:rPr>
          <w:szCs w:val="24"/>
        </w:rPr>
        <w:tab/>
      </w:r>
      <w:r w:rsidRPr="006C4726">
        <w:rPr>
          <w:szCs w:val="24"/>
        </w:rPr>
        <w:t>in the case of proceedings against a worker or agent under section 47B(1A), the worker or agent.</w:t>
      </w:r>
      <w:r w:rsidR="00FC6087">
        <w:rPr>
          <w:szCs w:val="24"/>
        </w:rPr>
        <w:t>”</w:t>
      </w:r>
    </w:p>
    <w:p w:rsidR="005C6F88" w:rsidRDefault="005C6F88" w:rsidP="00763FDB">
      <w:pPr>
        <w:pStyle w:val="ParaLevel1"/>
        <w:rPr>
          <w:rFonts w:eastAsia="Calibri"/>
        </w:rPr>
      </w:pPr>
      <w:r>
        <w:rPr>
          <w:rFonts w:eastAsia="Calibri"/>
        </w:rPr>
        <w:t xml:space="preserve">The new provisions leave the original sub-section (1) in place, so that an employer may be liable under section 47B by one of two routes – liability for its own act under sub-section (1) and vicarious liability under sub-section (1B).  The question of which route is available in a given case </w:t>
      </w:r>
      <w:r w:rsidR="00DF0169">
        <w:rPr>
          <w:rFonts w:eastAsia="Calibri"/>
        </w:rPr>
        <w:t>will</w:t>
      </w:r>
      <w:r>
        <w:rPr>
          <w:rFonts w:eastAsia="Calibri"/>
        </w:rPr>
        <w:t xml:space="preserve"> be important in circumstances where the employer could advance a reasonable steps defence, since sub-section (1D) applies only to claims under sub-section (1A).  </w:t>
      </w:r>
    </w:p>
    <w:p w:rsidR="005A0FFF" w:rsidRPr="005A0FFF" w:rsidRDefault="00E708C4" w:rsidP="00763FDB">
      <w:pPr>
        <w:pStyle w:val="ParaLevel1"/>
        <w:rPr>
          <w:rFonts w:eastAsia="Calibri"/>
        </w:rPr>
      </w:pPr>
      <w:r>
        <w:rPr>
          <w:rFonts w:eastAsia="Calibri"/>
        </w:rPr>
        <w:t>Although I have noted above the paral</w:t>
      </w:r>
      <w:r w:rsidR="008D7F88">
        <w:rPr>
          <w:rFonts w:eastAsia="Calibri"/>
        </w:rPr>
        <w:t>lels between the amended provis</w:t>
      </w:r>
      <w:r>
        <w:rPr>
          <w:rFonts w:eastAsia="Calibri"/>
        </w:rPr>
        <w:t xml:space="preserve">ions and those of the </w:t>
      </w:r>
      <w:r w:rsidR="008D7F88">
        <w:rPr>
          <w:rFonts w:eastAsia="Calibri"/>
        </w:rPr>
        <w:t>2010 Act</w:t>
      </w:r>
      <w:r w:rsidR="00FC76BE">
        <w:rPr>
          <w:rFonts w:eastAsia="Calibri"/>
        </w:rPr>
        <w:t xml:space="preserve">, </w:t>
      </w:r>
      <w:r w:rsidR="005B1332">
        <w:rPr>
          <w:rFonts w:eastAsia="Calibri"/>
        </w:rPr>
        <w:t xml:space="preserve">I have also noted some differences, and </w:t>
      </w:r>
      <w:r w:rsidR="00632455">
        <w:rPr>
          <w:rFonts w:eastAsia="Calibri"/>
        </w:rPr>
        <w:t xml:space="preserve">it is </w:t>
      </w:r>
      <w:r w:rsidR="00FC076C">
        <w:rPr>
          <w:rFonts w:eastAsia="Calibri"/>
        </w:rPr>
        <w:t xml:space="preserve">not possible </w:t>
      </w:r>
      <w:r w:rsidR="001036BA">
        <w:rPr>
          <w:rFonts w:eastAsia="Calibri"/>
        </w:rPr>
        <w:t>simply to read across from the one to the other</w:t>
      </w:r>
      <w:r w:rsidR="005A0FFF">
        <w:rPr>
          <w:rFonts w:eastAsia="Calibri"/>
        </w:rPr>
        <w:t xml:space="preserve">.  In </w:t>
      </w:r>
      <w:r w:rsidR="005A0FFF" w:rsidRPr="00FE432C">
        <w:rPr>
          <w:i/>
        </w:rPr>
        <w:t>Royal Mail Ltd v Jhuti</w:t>
      </w:r>
      <w:r w:rsidR="005A0FFF" w:rsidRPr="00A930B6">
        <w:t xml:space="preserve"> [201</w:t>
      </w:r>
      <w:r w:rsidR="005A0FFF">
        <w:t>7] EWCA Civ 16</w:t>
      </w:r>
      <w:r w:rsidR="00FC6FCE">
        <w:t>32, [2018] ICR 982, I said (p. 991 A-F</w:t>
      </w:r>
      <w:r w:rsidR="005A0FFF">
        <w:t>):</w:t>
      </w:r>
    </w:p>
    <w:p w:rsidR="00343760" w:rsidRPr="002B1F0E" w:rsidRDefault="00343760" w:rsidP="00763FDB">
      <w:pPr>
        <w:pStyle w:val="ParaLevel1"/>
        <w:numPr>
          <w:ilvl w:val="0"/>
          <w:numId w:val="0"/>
        </w:numPr>
        <w:ind w:left="1418" w:right="793"/>
        <w:rPr>
          <w:szCs w:val="24"/>
        </w:rPr>
      </w:pPr>
      <w:bookmarkStart w:id="3" w:name="para26"/>
      <w:r w:rsidRPr="002B1F0E">
        <w:rPr>
          <w:szCs w:val="24"/>
        </w:rPr>
        <w:t>“</w:t>
      </w:r>
      <w:r w:rsidR="00146CB7">
        <w:rPr>
          <w:szCs w:val="24"/>
        </w:rPr>
        <w:t xml:space="preserve">26.  </w:t>
      </w:r>
      <w:r w:rsidRPr="002B1F0E">
        <w:rPr>
          <w:szCs w:val="24"/>
        </w:rPr>
        <w:t>It is worth adding something about how section 47B and section 103A (with their various ancillary provisions) relate to the provisions proscribing discrimination in the Equality Act 2010. In one sense they too are concerned with discrimination, and the phrase ‘whistleblower discrimination’ is very commonly used. That is not inapt since the underlying concept is the same. But it is important to appreciate that the two statutory schemes are not identical, and there are likewise some significant differences in terminology. Thus, while it no doubt makes sense to interpret identical language (where it occurs) in the same way, it is not safe always to read across from one scheme to the other. In </w:t>
      </w:r>
      <w:r w:rsidRPr="002B1F0E">
        <w:rPr>
          <w:i/>
          <w:iCs/>
          <w:szCs w:val="24"/>
        </w:rPr>
        <w:t>Kuzel v Roche Products Ltd</w:t>
      </w:r>
      <w:r w:rsidRPr="002B1F0E">
        <w:rPr>
          <w:szCs w:val="24"/>
        </w:rPr>
        <w:t> </w:t>
      </w:r>
      <w:bookmarkEnd w:id="3"/>
      <w:r w:rsidRPr="002B1F0E">
        <w:rPr>
          <w:szCs w:val="24"/>
        </w:rPr>
        <w:t>[2008] EWCA Civ 380, [2008] ICR 799, which involved a claim of whistleblower dismissal, Mummery LJ said, at para. 48 (p. 809 D-E):</w:t>
      </w:r>
    </w:p>
    <w:p w:rsidR="00343760" w:rsidRPr="002B1F0E" w:rsidRDefault="00343760" w:rsidP="00763FDB">
      <w:pPr>
        <w:ind w:left="1701" w:right="793"/>
        <w:jc w:val="both"/>
        <w:rPr>
          <w:color w:val="000000"/>
        </w:rPr>
      </w:pPr>
      <w:r w:rsidRPr="002B1F0E">
        <w:rPr>
          <w:color w:val="000000"/>
        </w:rPr>
        <w:t>‘Unfair dismissal and discrimination on specific prohibited grounds are ... different causes of action. The statutory structure of the unfair dismissal legislation is so different from that of the discrimination legislation that an attempt at cross fertilisation or legal transplants runs the risk of complicating rather than clarifying the legal concepts.’</w:t>
      </w:r>
    </w:p>
    <w:p w:rsidR="00343760" w:rsidRDefault="00343760" w:rsidP="00763FDB">
      <w:pPr>
        <w:pStyle w:val="NormalWeb"/>
        <w:ind w:left="1418" w:right="793"/>
        <w:jc w:val="both"/>
        <w:rPr>
          <w:rFonts w:ascii="Times New Roman" w:hAnsi="Times New Roman"/>
          <w:color w:val="000000"/>
          <w:sz w:val="24"/>
          <w:szCs w:val="24"/>
        </w:rPr>
      </w:pPr>
      <w:r w:rsidRPr="002B1F0E">
        <w:rPr>
          <w:rFonts w:ascii="Times New Roman" w:hAnsi="Times New Roman"/>
          <w:color w:val="000000"/>
          <w:sz w:val="24"/>
          <w:szCs w:val="24"/>
        </w:rPr>
        <w:t>That case was concerned specifically with section 103A, and the structure and language of section 47B is closer to that of the Equality Act, particularly since the changes introduced by the 2013 Act. But even so there is no precise correspondence, and caution is required in using authority on the one statute as a guide to the other.</w:t>
      </w:r>
    </w:p>
    <w:p w:rsidR="00BD7E06" w:rsidRPr="004513C0" w:rsidRDefault="00146CB7" w:rsidP="00763FDB">
      <w:pPr>
        <w:pStyle w:val="NormalWeb"/>
        <w:ind w:left="1418" w:right="793"/>
        <w:jc w:val="both"/>
        <w:rPr>
          <w:rFonts w:ascii="Times New Roman" w:hAnsi="Times New Roman"/>
          <w:color w:val="000000"/>
          <w:sz w:val="24"/>
          <w:szCs w:val="24"/>
        </w:rPr>
      </w:pPr>
      <w:r w:rsidRPr="004513C0">
        <w:rPr>
          <w:rFonts w:ascii="Times New Roman" w:hAnsi="Times New Roman"/>
          <w:color w:val="000000"/>
          <w:sz w:val="24"/>
          <w:szCs w:val="24"/>
        </w:rPr>
        <w:t xml:space="preserve">27.  </w:t>
      </w:r>
      <w:bookmarkStart w:id="4" w:name="para27"/>
      <w:r w:rsidR="00343760" w:rsidRPr="004513C0">
        <w:rPr>
          <w:rFonts w:ascii="Times New Roman" w:hAnsi="Times New Roman"/>
          <w:sz w:val="24"/>
          <w:szCs w:val="24"/>
        </w:rPr>
        <w:t>One particular difference between the two schemes which it is important to bear in mind in this case is that whereas the whistleblower provisions of the 1996 Act provid</w:t>
      </w:r>
      <w:r w:rsidR="004513C0">
        <w:rPr>
          <w:rFonts w:ascii="Times New Roman" w:hAnsi="Times New Roman"/>
          <w:sz w:val="24"/>
          <w:szCs w:val="24"/>
        </w:rPr>
        <w:t>e separately for dismissal and ‘detriment’</w:t>
      </w:r>
      <w:r w:rsidR="00343760" w:rsidRPr="004513C0">
        <w:rPr>
          <w:rFonts w:ascii="Times New Roman" w:hAnsi="Times New Roman"/>
          <w:sz w:val="24"/>
          <w:szCs w:val="24"/>
        </w:rPr>
        <w:t>, as explained above, the 2010 Act makes no such distinction: although discrimination by dismissal is specifically identified in section 39 (2) (the principal provision prohibiting discrimination in employment), it is simply one of a list of proscribed</w:t>
      </w:r>
      <w:r w:rsidR="004513C0">
        <w:rPr>
          <w:rFonts w:ascii="Times New Roman" w:hAnsi="Times New Roman"/>
          <w:sz w:val="24"/>
          <w:szCs w:val="24"/>
        </w:rPr>
        <w:t xml:space="preserve"> discriminatory acts alongside ‘</w:t>
      </w:r>
      <w:r w:rsidR="00343760" w:rsidRPr="004513C0">
        <w:rPr>
          <w:rFonts w:ascii="Times New Roman" w:hAnsi="Times New Roman"/>
          <w:sz w:val="24"/>
          <w:szCs w:val="24"/>
        </w:rPr>
        <w:t>subjecting [the em</w:t>
      </w:r>
      <w:r w:rsidR="004513C0">
        <w:rPr>
          <w:rFonts w:ascii="Times New Roman" w:hAnsi="Times New Roman"/>
          <w:sz w:val="24"/>
          <w:szCs w:val="24"/>
        </w:rPr>
        <w:t>ployee] to any other detriments’</w:t>
      </w:r>
      <w:r w:rsidR="00343760" w:rsidRPr="004513C0">
        <w:rPr>
          <w:rFonts w:ascii="Times New Roman" w:hAnsi="Times New Roman"/>
          <w:sz w:val="24"/>
          <w:szCs w:val="24"/>
        </w:rPr>
        <w:t xml:space="preserve"> (see heads (c) and (d)). The separate provis</w:t>
      </w:r>
      <w:r w:rsidR="004513C0">
        <w:rPr>
          <w:rFonts w:ascii="Times New Roman" w:hAnsi="Times New Roman"/>
          <w:sz w:val="24"/>
          <w:szCs w:val="24"/>
        </w:rPr>
        <w:t>ion for dismissal and detriment</w:t>
      </w:r>
      <w:r w:rsidR="00343760" w:rsidRPr="004513C0">
        <w:rPr>
          <w:rFonts w:ascii="Times New Roman" w:hAnsi="Times New Roman"/>
          <w:sz w:val="24"/>
          <w:szCs w:val="24"/>
        </w:rPr>
        <w:t xml:space="preserve"> </w:t>
      </w:r>
      <w:r w:rsidR="004513C0">
        <w:rPr>
          <w:rFonts w:ascii="Times New Roman" w:hAnsi="Times New Roman"/>
          <w:sz w:val="24"/>
          <w:szCs w:val="24"/>
        </w:rPr>
        <w:t xml:space="preserve">… </w:t>
      </w:r>
      <w:r w:rsidR="00343760" w:rsidRPr="004513C0">
        <w:rPr>
          <w:rFonts w:ascii="Times New Roman" w:hAnsi="Times New Roman"/>
          <w:sz w:val="24"/>
          <w:szCs w:val="24"/>
        </w:rPr>
        <w:t>is a peculiarity of the whistleblower provisions.</w:t>
      </w:r>
      <w:bookmarkEnd w:id="4"/>
      <w:r w:rsidR="004513C0">
        <w:rPr>
          <w:rFonts w:ascii="Times New Roman" w:hAnsi="Times New Roman"/>
          <w:sz w:val="24"/>
          <w:szCs w:val="24"/>
        </w:rPr>
        <w:t>”</w:t>
      </w:r>
    </w:p>
    <w:p w:rsidR="00D35E17" w:rsidRDefault="00BD7E06" w:rsidP="00763FDB">
      <w:pPr>
        <w:pStyle w:val="ParaLevel1"/>
        <w:numPr>
          <w:ilvl w:val="0"/>
          <w:numId w:val="0"/>
        </w:numPr>
        <w:rPr>
          <w:rFonts w:eastAsia="Calibri"/>
        </w:rPr>
      </w:pPr>
      <w:r>
        <w:rPr>
          <w:rFonts w:eastAsia="Calibri"/>
          <w:b/>
          <w:u w:val="single"/>
        </w:rPr>
        <w:t xml:space="preserve">THE </w:t>
      </w:r>
      <w:r w:rsidR="0058771C">
        <w:rPr>
          <w:rFonts w:eastAsia="Calibri"/>
          <w:b/>
          <w:u w:val="single"/>
        </w:rPr>
        <w:t>DECISIONS OF THE ET AND THE EAT</w:t>
      </w:r>
    </w:p>
    <w:p w:rsidR="00A4432E" w:rsidRPr="00591106" w:rsidRDefault="0058771C" w:rsidP="00763FDB">
      <w:pPr>
        <w:pStyle w:val="ParaLevel1"/>
        <w:rPr>
          <w:rFonts w:eastAsia="Calibri"/>
        </w:rPr>
      </w:pPr>
      <w:r w:rsidRPr="00591106">
        <w:rPr>
          <w:rFonts w:eastAsia="Calibri"/>
        </w:rPr>
        <w:t xml:space="preserve">I do not propose under this head to </w:t>
      </w:r>
      <w:r w:rsidR="00BE1378" w:rsidRPr="00591106">
        <w:rPr>
          <w:rFonts w:eastAsia="Calibri"/>
        </w:rPr>
        <w:t xml:space="preserve">recite the findings of fact made by the ET or the detailed reasoning of either it or the EAT.  The primary issue </w:t>
      </w:r>
      <w:r w:rsidR="00A478FD" w:rsidRPr="00591106">
        <w:rPr>
          <w:rFonts w:eastAsia="Calibri"/>
        </w:rPr>
        <w:t xml:space="preserve">is one of pure law </w:t>
      </w:r>
      <w:r w:rsidR="00791121">
        <w:rPr>
          <w:rFonts w:eastAsia="Calibri"/>
        </w:rPr>
        <w:t xml:space="preserve">and </w:t>
      </w:r>
      <w:r w:rsidR="00A478FD" w:rsidRPr="00591106">
        <w:rPr>
          <w:rFonts w:eastAsia="Calibri"/>
        </w:rPr>
        <w:t xml:space="preserve">does not depend in any way on the particular facts beyond those summarised </w:t>
      </w:r>
      <w:r w:rsidR="00197FB8" w:rsidRPr="00591106">
        <w:rPr>
          <w:rFonts w:eastAsia="Calibri"/>
        </w:rPr>
        <w:t xml:space="preserve">in para. </w:t>
      </w:r>
      <w:r w:rsidR="00992B82">
        <w:rPr>
          <w:rFonts w:eastAsia="Calibri"/>
        </w:rPr>
        <w:t>1 above.  The secondary issue</w:t>
      </w:r>
      <w:r w:rsidR="00197FB8" w:rsidRPr="00591106">
        <w:rPr>
          <w:rFonts w:eastAsia="Calibri"/>
        </w:rPr>
        <w:t xml:space="preserve"> will require some reference to the findings of the ET, but those are more usefully set out at that stage.  </w:t>
      </w:r>
      <w:r w:rsidR="00591106" w:rsidRPr="00591106">
        <w:rPr>
          <w:rFonts w:eastAsia="Calibri"/>
        </w:rPr>
        <w:t>Likewise, it will be more convenient t</w:t>
      </w:r>
      <w:r w:rsidR="00C94344">
        <w:rPr>
          <w:rFonts w:eastAsia="Calibri"/>
        </w:rPr>
        <w:t xml:space="preserve">o refer to the reasoning of the EAT </w:t>
      </w:r>
      <w:r w:rsidR="00591106" w:rsidRPr="00591106">
        <w:rPr>
          <w:rFonts w:eastAsia="Calibri"/>
        </w:rPr>
        <w:t xml:space="preserve">in my discussion of the issues.  </w:t>
      </w:r>
      <w:r w:rsidR="003D44D5">
        <w:rPr>
          <w:rFonts w:eastAsia="Calibri"/>
        </w:rPr>
        <w:t xml:space="preserve">Accordingly I confine myself to a summary of what the actual </w:t>
      </w:r>
      <w:r w:rsidR="002D4BA8">
        <w:rPr>
          <w:rFonts w:eastAsia="Calibri"/>
        </w:rPr>
        <w:t>decisions</w:t>
      </w:r>
      <w:r w:rsidR="003D44D5">
        <w:rPr>
          <w:rFonts w:eastAsia="Calibri"/>
        </w:rPr>
        <w:t xml:space="preserve"> were, so far as relevant to the appeal.</w:t>
      </w:r>
    </w:p>
    <w:p w:rsidR="00A4432E" w:rsidRPr="00182923" w:rsidRDefault="00A4432E" w:rsidP="00763FDB">
      <w:pPr>
        <w:pStyle w:val="ParaLevel1"/>
        <w:numPr>
          <w:ilvl w:val="0"/>
          <w:numId w:val="0"/>
        </w:numPr>
        <w:rPr>
          <w:rFonts w:eastAsia="Calibri"/>
          <w:u w:val="single"/>
        </w:rPr>
      </w:pPr>
      <w:r w:rsidRPr="00A4432E">
        <w:rPr>
          <w:rFonts w:eastAsia="Calibri"/>
          <w:u w:val="single"/>
        </w:rPr>
        <w:t>THE EMPLOYMENT TRIBUNAL</w:t>
      </w:r>
    </w:p>
    <w:p w:rsidR="00287160" w:rsidRDefault="00285398" w:rsidP="00763FDB">
      <w:pPr>
        <w:pStyle w:val="ParaLevel1"/>
        <w:rPr>
          <w:rFonts w:eastAsia="Calibri"/>
        </w:rPr>
      </w:pPr>
      <w:r>
        <w:rPr>
          <w:rFonts w:eastAsia="Calibri"/>
        </w:rPr>
        <w:t xml:space="preserve">The </w:t>
      </w:r>
      <w:r w:rsidR="00F479CC">
        <w:rPr>
          <w:rFonts w:eastAsia="Calibri"/>
        </w:rPr>
        <w:t>Claimant’s ET1</w:t>
      </w:r>
      <w:r w:rsidR="00732B7B">
        <w:rPr>
          <w:rFonts w:eastAsia="Calibri"/>
        </w:rPr>
        <w:t xml:space="preserve"> named IPL and four ind</w:t>
      </w:r>
      <w:r w:rsidR="009C5A19">
        <w:rPr>
          <w:rFonts w:eastAsia="Calibri"/>
        </w:rPr>
        <w:t>ividual</w:t>
      </w:r>
      <w:r w:rsidR="00502DCA">
        <w:rPr>
          <w:rFonts w:eastAsia="Calibri"/>
        </w:rPr>
        <w:t>s</w:t>
      </w:r>
      <w:r w:rsidR="009C5A19">
        <w:rPr>
          <w:rFonts w:eastAsia="Calibri"/>
        </w:rPr>
        <w:t xml:space="preserve"> </w:t>
      </w:r>
      <w:r w:rsidR="00732B7B">
        <w:rPr>
          <w:rFonts w:eastAsia="Calibri"/>
        </w:rPr>
        <w:t>as respondents</w:t>
      </w:r>
      <w:r w:rsidR="002406CE">
        <w:rPr>
          <w:rFonts w:eastAsia="Calibri"/>
        </w:rPr>
        <w:t xml:space="preserve">: </w:t>
      </w:r>
      <w:r w:rsidR="00393FE4">
        <w:rPr>
          <w:rFonts w:eastAsia="Calibri"/>
        </w:rPr>
        <w:t>these were</w:t>
      </w:r>
      <w:r w:rsidR="008A2918">
        <w:rPr>
          <w:rFonts w:eastAsia="Calibri"/>
        </w:rPr>
        <w:t>,</w:t>
      </w:r>
      <w:r w:rsidR="00393FE4">
        <w:rPr>
          <w:rFonts w:eastAsia="Calibri"/>
        </w:rPr>
        <w:t xml:space="preserve"> </w:t>
      </w:r>
      <w:r w:rsidR="009C5A19">
        <w:rPr>
          <w:rFonts w:eastAsia="Calibri"/>
        </w:rPr>
        <w:t xml:space="preserve">apart from Mr Timis and Mr Sage, </w:t>
      </w:r>
      <w:r w:rsidR="008A2918">
        <w:rPr>
          <w:rFonts w:eastAsia="Calibri"/>
        </w:rPr>
        <w:t>a</w:t>
      </w:r>
      <w:r w:rsidR="009C5A19">
        <w:rPr>
          <w:rFonts w:eastAsia="Calibri"/>
        </w:rPr>
        <w:t xml:space="preserve"> Dr </w:t>
      </w:r>
      <w:r w:rsidR="008A2918">
        <w:rPr>
          <w:rFonts w:eastAsia="Calibri"/>
        </w:rPr>
        <w:t>L</w:t>
      </w:r>
      <w:r w:rsidR="009C5A19">
        <w:rPr>
          <w:rFonts w:eastAsia="Calibri"/>
        </w:rPr>
        <w:t xml:space="preserve">ake and </w:t>
      </w:r>
      <w:r w:rsidR="008A2918">
        <w:rPr>
          <w:rFonts w:eastAsia="Calibri"/>
        </w:rPr>
        <w:t xml:space="preserve">a </w:t>
      </w:r>
      <w:r w:rsidR="009C5A19">
        <w:rPr>
          <w:rFonts w:eastAsia="Calibri"/>
        </w:rPr>
        <w:t>Mr Matveev</w:t>
      </w:r>
      <w:r w:rsidR="00537789">
        <w:rPr>
          <w:rFonts w:eastAsia="Calibri"/>
        </w:rPr>
        <w:t>.  The</w:t>
      </w:r>
      <w:r w:rsidR="00AE5976">
        <w:rPr>
          <w:rFonts w:eastAsia="Calibri"/>
        </w:rPr>
        <w:t>re was a claim against IPL of whistleblower dismissal under section 103A</w:t>
      </w:r>
      <w:r w:rsidR="00343574">
        <w:rPr>
          <w:rFonts w:eastAsia="Calibri"/>
        </w:rPr>
        <w:t xml:space="preserve">, with a fallback claim of “ordinary” unfair dismissal under section 98.  </w:t>
      </w:r>
      <w:r w:rsidR="00902036">
        <w:rPr>
          <w:rFonts w:eastAsia="Calibri"/>
        </w:rPr>
        <w:t>This appeal is</w:t>
      </w:r>
      <w:r w:rsidR="00343574">
        <w:rPr>
          <w:rFonts w:eastAsia="Calibri"/>
        </w:rPr>
        <w:t>, however, concerned</w:t>
      </w:r>
      <w:r w:rsidR="00902036">
        <w:rPr>
          <w:rFonts w:eastAsia="Calibri"/>
        </w:rPr>
        <w:t xml:space="preserve"> with the detriment claim, and more specifically with the claim against the Appellants that </w:t>
      </w:r>
      <w:r w:rsidR="004306C9">
        <w:rPr>
          <w:rFonts w:eastAsia="Calibri"/>
        </w:rPr>
        <w:t xml:space="preserve">in breach of section 47B </w:t>
      </w:r>
      <w:r w:rsidR="00902036">
        <w:rPr>
          <w:rFonts w:eastAsia="Calibri"/>
        </w:rPr>
        <w:t xml:space="preserve">they </w:t>
      </w:r>
      <w:r w:rsidR="004306C9">
        <w:rPr>
          <w:rFonts w:eastAsia="Calibri"/>
        </w:rPr>
        <w:t xml:space="preserve">subjected the Claimant to </w:t>
      </w:r>
      <w:r w:rsidR="00C91B5C">
        <w:rPr>
          <w:rFonts w:eastAsia="Calibri"/>
        </w:rPr>
        <w:t xml:space="preserve">detriments </w:t>
      </w:r>
      <w:r w:rsidR="006B0EE5">
        <w:rPr>
          <w:rFonts w:eastAsia="Calibri"/>
        </w:rPr>
        <w:t>which led to his dismissal.  As to that,</w:t>
      </w:r>
      <w:r w:rsidR="00502DCA">
        <w:rPr>
          <w:rFonts w:eastAsia="Calibri"/>
        </w:rPr>
        <w:t xml:space="preserve"> the</w:t>
      </w:r>
      <w:r w:rsidR="006B0EE5">
        <w:rPr>
          <w:rFonts w:eastAsia="Calibri"/>
        </w:rPr>
        <w:t xml:space="preserve"> </w:t>
      </w:r>
      <w:r w:rsidR="00537789">
        <w:rPr>
          <w:rFonts w:eastAsia="Calibri"/>
        </w:rPr>
        <w:t xml:space="preserve">original Details of Claim did not articulate any specific </w:t>
      </w:r>
      <w:r w:rsidR="00E2489C">
        <w:rPr>
          <w:rFonts w:eastAsia="Calibri"/>
        </w:rPr>
        <w:t>case</w:t>
      </w:r>
      <w:r w:rsidR="004B4704">
        <w:rPr>
          <w:rFonts w:eastAsia="Calibri"/>
        </w:rPr>
        <w:t xml:space="preserve">.  But particulars were subsequently provided and in due course embodied in an agreed list of issues.  This </w:t>
      </w:r>
      <w:r w:rsidR="006A318A">
        <w:rPr>
          <w:rFonts w:eastAsia="Calibri"/>
        </w:rPr>
        <w:t xml:space="preserve">listed, at para. 9, </w:t>
      </w:r>
      <w:r w:rsidR="00D1127B">
        <w:rPr>
          <w:rFonts w:eastAsia="Calibri"/>
        </w:rPr>
        <w:t xml:space="preserve">fourteen </w:t>
      </w:r>
      <w:r w:rsidR="006A318A">
        <w:rPr>
          <w:rFonts w:eastAsia="Calibri"/>
        </w:rPr>
        <w:t>detriments</w:t>
      </w:r>
      <w:r w:rsidR="00992B82">
        <w:rPr>
          <w:rFonts w:eastAsia="Calibri"/>
        </w:rPr>
        <w:t>,</w:t>
      </w:r>
      <w:r w:rsidR="004F2B49">
        <w:rPr>
          <w:rFonts w:eastAsia="Calibri"/>
        </w:rPr>
        <w:t xml:space="preserve"> labelled (a)-(n)</w:t>
      </w:r>
      <w:r w:rsidR="00510E2A">
        <w:rPr>
          <w:rFonts w:eastAsia="Calibri"/>
        </w:rPr>
        <w:t xml:space="preserve">.  Many </w:t>
      </w:r>
      <w:r w:rsidR="004F2B49">
        <w:rPr>
          <w:rFonts w:eastAsia="Calibri"/>
        </w:rPr>
        <w:t xml:space="preserve">could perhaps </w:t>
      </w:r>
      <w:r w:rsidR="009D5246">
        <w:rPr>
          <w:rFonts w:eastAsia="Calibri"/>
        </w:rPr>
        <w:t xml:space="preserve">have </w:t>
      </w:r>
      <w:r w:rsidR="004F2B49">
        <w:rPr>
          <w:rFonts w:eastAsia="Calibri"/>
        </w:rPr>
        <w:t>be</w:t>
      </w:r>
      <w:r w:rsidR="009D5246">
        <w:rPr>
          <w:rFonts w:eastAsia="Calibri"/>
        </w:rPr>
        <w:t>en</w:t>
      </w:r>
      <w:r w:rsidR="004F2B49">
        <w:rPr>
          <w:rFonts w:eastAsia="Calibri"/>
        </w:rPr>
        <w:t xml:space="preserve"> considered to be part of the chain of causation leading to the Claimant’s dismissal, </w:t>
      </w:r>
      <w:r w:rsidR="00C91B5C">
        <w:rPr>
          <w:rFonts w:eastAsia="Calibri"/>
        </w:rPr>
        <w:t xml:space="preserve">but </w:t>
      </w:r>
      <w:r w:rsidR="00E5747B">
        <w:rPr>
          <w:rFonts w:eastAsia="Calibri"/>
        </w:rPr>
        <w:t>the focus before us has been</w:t>
      </w:r>
      <w:r w:rsidR="00C91B5C">
        <w:rPr>
          <w:rFonts w:eastAsia="Calibri"/>
        </w:rPr>
        <w:t xml:space="preserve"> on detriment </w:t>
      </w:r>
      <w:r w:rsidR="006A318A">
        <w:rPr>
          <w:rFonts w:eastAsia="Calibri"/>
        </w:rPr>
        <w:t>(m)</w:t>
      </w:r>
      <w:r w:rsidR="00C91B5C">
        <w:rPr>
          <w:rFonts w:eastAsia="Calibri"/>
        </w:rPr>
        <w:t>, which</w:t>
      </w:r>
      <w:r w:rsidR="006A318A">
        <w:rPr>
          <w:rFonts w:eastAsia="Calibri"/>
        </w:rPr>
        <w:t xml:space="preserve"> reads:</w:t>
      </w:r>
    </w:p>
    <w:p w:rsidR="006A318A" w:rsidRDefault="006A318A" w:rsidP="00763FDB">
      <w:pPr>
        <w:pStyle w:val="ParaLevel1"/>
        <w:numPr>
          <w:ilvl w:val="0"/>
          <w:numId w:val="0"/>
        </w:numPr>
        <w:ind w:left="1418" w:right="793"/>
        <w:rPr>
          <w:rFonts w:eastAsia="Calibri"/>
        </w:rPr>
      </w:pPr>
      <w:r>
        <w:rPr>
          <w:rFonts w:eastAsia="Calibri"/>
        </w:rPr>
        <w:t>“Any instructions or recommendations given by the 2</w:t>
      </w:r>
      <w:r w:rsidRPr="006A318A">
        <w:rPr>
          <w:rFonts w:eastAsia="Calibri"/>
          <w:vertAlign w:val="superscript"/>
        </w:rPr>
        <w:t>nd</w:t>
      </w:r>
      <w:r>
        <w:rPr>
          <w:rFonts w:eastAsia="Calibri"/>
        </w:rPr>
        <w:t xml:space="preserve"> to 5</w:t>
      </w:r>
      <w:r w:rsidRPr="006A318A">
        <w:rPr>
          <w:rFonts w:eastAsia="Calibri"/>
          <w:vertAlign w:val="superscript"/>
        </w:rPr>
        <w:t>th</w:t>
      </w:r>
      <w:r>
        <w:rPr>
          <w:rFonts w:eastAsia="Calibri"/>
        </w:rPr>
        <w:t xml:space="preserve"> Respondents </w:t>
      </w:r>
      <w:r w:rsidR="00C65529">
        <w:rPr>
          <w:rFonts w:eastAsia="Calibri"/>
        </w:rPr>
        <w:t>which culminated in</w:t>
      </w:r>
      <w:r w:rsidR="00F803D0">
        <w:rPr>
          <w:rFonts w:eastAsia="Calibri"/>
        </w:rPr>
        <w:t xml:space="preserve"> the Claimant’s dismissal on 27</w:t>
      </w:r>
      <w:r w:rsidR="00C65529" w:rsidRPr="00C65529">
        <w:rPr>
          <w:rFonts w:eastAsia="Calibri"/>
          <w:vertAlign w:val="superscript"/>
        </w:rPr>
        <w:t>th</w:t>
      </w:r>
      <w:r w:rsidR="00C65529">
        <w:rPr>
          <w:rFonts w:eastAsia="Calibri"/>
        </w:rPr>
        <w:t xml:space="preserve"> October 2014</w:t>
      </w:r>
      <w:r w:rsidR="00BD62E4">
        <w:rPr>
          <w:rFonts w:eastAsia="Calibri"/>
        </w:rPr>
        <w:t xml:space="preserve"> …”</w:t>
      </w:r>
    </w:p>
    <w:p w:rsidR="00EB32EF" w:rsidRPr="00063867" w:rsidRDefault="00B1440D" w:rsidP="00763FDB">
      <w:pPr>
        <w:pStyle w:val="ParaLevel1"/>
        <w:rPr>
          <w:rFonts w:eastAsia="Calibri"/>
        </w:rPr>
      </w:pPr>
      <w:r w:rsidRPr="00063867">
        <w:rPr>
          <w:rFonts w:eastAsia="Calibri"/>
        </w:rPr>
        <w:t xml:space="preserve">The claim was heard </w:t>
      </w:r>
      <w:r w:rsidR="003D44D5" w:rsidRPr="00063867">
        <w:rPr>
          <w:rFonts w:eastAsia="Calibri"/>
        </w:rPr>
        <w:t xml:space="preserve">in the London Central </w:t>
      </w:r>
      <w:r w:rsidR="004A2B6F" w:rsidRPr="00063867">
        <w:rPr>
          <w:rFonts w:eastAsia="Calibri"/>
        </w:rPr>
        <w:t>ET,</w:t>
      </w:r>
      <w:r w:rsidR="00FA5BE4" w:rsidRPr="00063867">
        <w:rPr>
          <w:rFonts w:eastAsia="Calibri"/>
        </w:rPr>
        <w:t xml:space="preserve"> </w:t>
      </w:r>
      <w:r w:rsidR="004A2B6F" w:rsidRPr="00063867">
        <w:rPr>
          <w:rFonts w:eastAsia="Calibri"/>
        </w:rPr>
        <w:t xml:space="preserve">chaired by Employment Judge Lewzey, </w:t>
      </w:r>
      <w:r w:rsidRPr="00063867">
        <w:rPr>
          <w:rFonts w:eastAsia="Calibri"/>
        </w:rPr>
        <w:t xml:space="preserve">over two weeks in December 2015.  </w:t>
      </w:r>
      <w:r w:rsidR="00763FDB" w:rsidRPr="00063867">
        <w:rPr>
          <w:rFonts w:eastAsia="Calibri"/>
        </w:rPr>
        <w:t>The Judgment</w:t>
      </w:r>
      <w:r w:rsidR="000A79C8" w:rsidRPr="00063867">
        <w:rPr>
          <w:rFonts w:eastAsia="Calibri"/>
        </w:rPr>
        <w:t xml:space="preserve"> and Reasons were </w:t>
      </w:r>
      <w:r w:rsidRPr="00063867">
        <w:rPr>
          <w:rFonts w:eastAsia="Calibri"/>
        </w:rPr>
        <w:t xml:space="preserve">sent to the parties </w:t>
      </w:r>
      <w:r w:rsidR="000A79C8" w:rsidRPr="00063867">
        <w:rPr>
          <w:rFonts w:eastAsia="Calibri"/>
        </w:rPr>
        <w:t xml:space="preserve">on </w:t>
      </w:r>
      <w:r w:rsidR="00C6567F">
        <w:rPr>
          <w:rFonts w:eastAsia="Calibri"/>
        </w:rPr>
        <w:t>6 April</w:t>
      </w:r>
      <w:r w:rsidR="000A79C8" w:rsidRPr="00063867">
        <w:rPr>
          <w:rFonts w:eastAsia="Calibri"/>
        </w:rPr>
        <w:t xml:space="preserve"> 2016.  </w:t>
      </w:r>
      <w:r w:rsidR="00AB220F" w:rsidRPr="00063867">
        <w:rPr>
          <w:rFonts w:eastAsia="Calibri"/>
        </w:rPr>
        <w:t xml:space="preserve">Although </w:t>
      </w:r>
      <w:r w:rsidR="00B108FC" w:rsidRPr="00063867">
        <w:rPr>
          <w:rFonts w:eastAsia="Calibri"/>
        </w:rPr>
        <w:t>the Reasons</w:t>
      </w:r>
      <w:r w:rsidR="000D3C85" w:rsidRPr="00063867">
        <w:rPr>
          <w:rFonts w:eastAsia="Calibri"/>
        </w:rPr>
        <w:t xml:space="preserve"> are clearly structured, and </w:t>
      </w:r>
      <w:r w:rsidR="001066D6" w:rsidRPr="00063867">
        <w:rPr>
          <w:rFonts w:eastAsia="Calibri"/>
        </w:rPr>
        <w:t>a good</w:t>
      </w:r>
      <w:r w:rsidR="00AB220F" w:rsidRPr="00063867">
        <w:rPr>
          <w:rFonts w:eastAsia="Calibri"/>
        </w:rPr>
        <w:t xml:space="preserve"> deal of work </w:t>
      </w:r>
      <w:r w:rsidR="000D3C85" w:rsidRPr="00063867">
        <w:rPr>
          <w:rFonts w:eastAsia="Calibri"/>
        </w:rPr>
        <w:t xml:space="preserve">evidently went into them, the reasoning is not </w:t>
      </w:r>
      <w:r w:rsidR="000C54DA">
        <w:rPr>
          <w:rFonts w:eastAsia="Calibri"/>
        </w:rPr>
        <w:t xml:space="preserve">always </w:t>
      </w:r>
      <w:r w:rsidR="000D3C85" w:rsidRPr="00063867">
        <w:rPr>
          <w:rFonts w:eastAsia="Calibri"/>
        </w:rPr>
        <w:t xml:space="preserve">clearly spelt out, and some work has to be done to understand what </w:t>
      </w:r>
      <w:r w:rsidR="00B108FC" w:rsidRPr="00063867">
        <w:rPr>
          <w:rFonts w:eastAsia="Calibri"/>
        </w:rPr>
        <w:t>the tribunal</w:t>
      </w:r>
      <w:r w:rsidR="000D3C85" w:rsidRPr="00063867">
        <w:rPr>
          <w:rFonts w:eastAsia="Calibri"/>
        </w:rPr>
        <w:t xml:space="preserve"> i</w:t>
      </w:r>
      <w:r w:rsidR="000C54DA">
        <w:rPr>
          <w:rFonts w:eastAsia="Calibri"/>
        </w:rPr>
        <w:t xml:space="preserve">ntended.  </w:t>
      </w:r>
      <w:r w:rsidR="00EB32EF" w:rsidRPr="00063867">
        <w:rPr>
          <w:rFonts w:eastAsia="Calibri"/>
        </w:rPr>
        <w:t>I take separately its decisions as to liability and remedy.</w:t>
      </w:r>
    </w:p>
    <w:p w:rsidR="002E100A" w:rsidRDefault="00EB32EF" w:rsidP="00763FDB">
      <w:pPr>
        <w:pStyle w:val="ParaLevel1"/>
        <w:rPr>
          <w:rFonts w:eastAsia="Calibri"/>
        </w:rPr>
      </w:pPr>
      <w:r>
        <w:rPr>
          <w:rFonts w:eastAsia="Calibri"/>
        </w:rPr>
        <w:t xml:space="preserve">As to liability, </w:t>
      </w:r>
      <w:r w:rsidR="00BE26E4">
        <w:rPr>
          <w:rFonts w:eastAsia="Calibri"/>
        </w:rPr>
        <w:t>t</w:t>
      </w:r>
      <w:r w:rsidR="00992B82">
        <w:rPr>
          <w:rFonts w:eastAsia="Calibri"/>
        </w:rPr>
        <w:t>he tribunal</w:t>
      </w:r>
      <w:r w:rsidR="00BE26E4">
        <w:rPr>
          <w:rFonts w:eastAsia="Calibri"/>
        </w:rPr>
        <w:t xml:space="preserve"> found that the Claimant had been unfairly dismissed by IPL </w:t>
      </w:r>
      <w:r w:rsidR="000A6AA9">
        <w:rPr>
          <w:rFonts w:eastAsia="Calibri"/>
        </w:rPr>
        <w:t>under section 103A.  I need say nothing more about that aspect.  As regards the detriment claims</w:t>
      </w:r>
      <w:r w:rsidR="00165335">
        <w:rPr>
          <w:rFonts w:eastAsia="Calibri"/>
        </w:rPr>
        <w:t xml:space="preserve">, </w:t>
      </w:r>
      <w:r w:rsidR="00992B82">
        <w:rPr>
          <w:rFonts w:eastAsia="Calibri"/>
        </w:rPr>
        <w:t>i</w:t>
      </w:r>
      <w:r w:rsidR="00FF47C0">
        <w:rPr>
          <w:rFonts w:eastAsia="Calibri"/>
        </w:rPr>
        <w:t>t</w:t>
      </w:r>
      <w:r w:rsidR="00B108FC">
        <w:rPr>
          <w:rFonts w:eastAsia="Calibri"/>
        </w:rPr>
        <w:t xml:space="preserve"> found some but not all of the pleaded</w:t>
      </w:r>
      <w:r w:rsidR="00FF47C0">
        <w:rPr>
          <w:rFonts w:eastAsia="Calibri"/>
        </w:rPr>
        <w:t xml:space="preserve"> detriments to be proved, including </w:t>
      </w:r>
      <w:r w:rsidR="001066D6">
        <w:rPr>
          <w:rFonts w:eastAsia="Calibri"/>
        </w:rPr>
        <w:t xml:space="preserve">“detriment </w:t>
      </w:r>
      <w:r w:rsidR="00CB4F86">
        <w:rPr>
          <w:rFonts w:eastAsia="Calibri"/>
        </w:rPr>
        <w:t>(m)</w:t>
      </w:r>
      <w:r w:rsidR="001066D6">
        <w:rPr>
          <w:rFonts w:eastAsia="Calibri"/>
        </w:rPr>
        <w:t>”</w:t>
      </w:r>
      <w:r w:rsidR="00CB4F86">
        <w:rPr>
          <w:rFonts w:eastAsia="Calibri"/>
        </w:rPr>
        <w:t xml:space="preserve">.  It then, at </w:t>
      </w:r>
      <w:r w:rsidR="00C12102" w:rsidRPr="00EB32EF">
        <w:rPr>
          <w:rFonts w:eastAsia="Calibri"/>
        </w:rPr>
        <w:t>para. 133</w:t>
      </w:r>
      <w:r w:rsidR="00A712A8" w:rsidRPr="00EB32EF">
        <w:rPr>
          <w:rFonts w:eastAsia="Calibri"/>
        </w:rPr>
        <w:t xml:space="preserve">, </w:t>
      </w:r>
      <w:r w:rsidR="0052202A" w:rsidRPr="00EB32EF">
        <w:rPr>
          <w:rFonts w:eastAsia="Calibri"/>
        </w:rPr>
        <w:t xml:space="preserve">turned to consider which </w:t>
      </w:r>
      <w:r w:rsidR="00441AA9" w:rsidRPr="00EB32EF">
        <w:rPr>
          <w:rFonts w:eastAsia="Calibri"/>
        </w:rPr>
        <w:t>particular</w:t>
      </w:r>
      <w:r w:rsidR="0052202A" w:rsidRPr="00EB32EF">
        <w:rPr>
          <w:rFonts w:eastAsia="Calibri"/>
        </w:rPr>
        <w:t xml:space="preserve"> respondents </w:t>
      </w:r>
      <w:r w:rsidR="00441AA9" w:rsidRPr="00EB32EF">
        <w:rPr>
          <w:rFonts w:eastAsia="Calibri"/>
        </w:rPr>
        <w:t xml:space="preserve">had done – or, in its paraphrase, </w:t>
      </w:r>
      <w:r w:rsidR="00A730B5" w:rsidRPr="00EB32EF">
        <w:rPr>
          <w:rFonts w:eastAsia="Calibri"/>
        </w:rPr>
        <w:t>were</w:t>
      </w:r>
      <w:r w:rsidR="0052202A" w:rsidRPr="00EB32EF">
        <w:rPr>
          <w:rFonts w:eastAsia="Calibri"/>
        </w:rPr>
        <w:t xml:space="preserve"> </w:t>
      </w:r>
      <w:r w:rsidR="00636CF2">
        <w:rPr>
          <w:rFonts w:eastAsia="Calibri"/>
        </w:rPr>
        <w:t>“</w:t>
      </w:r>
      <w:r w:rsidR="00441AA9" w:rsidRPr="00EB32EF">
        <w:rPr>
          <w:rFonts w:eastAsia="Calibri"/>
        </w:rPr>
        <w:t>responsible for</w:t>
      </w:r>
      <w:r w:rsidR="00636CF2">
        <w:rPr>
          <w:rFonts w:eastAsia="Calibri"/>
        </w:rPr>
        <w:t>”</w:t>
      </w:r>
      <w:r w:rsidR="00441AA9" w:rsidRPr="00EB32EF">
        <w:rPr>
          <w:rFonts w:eastAsia="Calibri"/>
        </w:rPr>
        <w:t xml:space="preserve"> – </w:t>
      </w:r>
      <w:r w:rsidR="00636CF2">
        <w:rPr>
          <w:rFonts w:eastAsia="Calibri"/>
        </w:rPr>
        <w:t xml:space="preserve">the acts </w:t>
      </w:r>
      <w:r w:rsidR="00E21A9E">
        <w:rPr>
          <w:rFonts w:eastAsia="Calibri"/>
        </w:rPr>
        <w:t xml:space="preserve">by which the Claimant had been subjected to </w:t>
      </w:r>
      <w:r w:rsidR="00636CF2">
        <w:rPr>
          <w:rFonts w:eastAsia="Calibri"/>
        </w:rPr>
        <w:t>th</w:t>
      </w:r>
      <w:r w:rsidR="00E21A9E">
        <w:rPr>
          <w:rFonts w:eastAsia="Calibri"/>
        </w:rPr>
        <w:t>os</w:t>
      </w:r>
      <w:r w:rsidR="00636CF2">
        <w:rPr>
          <w:rFonts w:eastAsia="Calibri"/>
        </w:rPr>
        <w:t>e</w:t>
      </w:r>
      <w:r w:rsidR="00441AA9" w:rsidRPr="00EB32EF">
        <w:rPr>
          <w:rFonts w:eastAsia="Calibri"/>
        </w:rPr>
        <w:t xml:space="preserve"> detriments</w:t>
      </w:r>
      <w:r w:rsidR="00A730B5" w:rsidRPr="00EB32EF">
        <w:rPr>
          <w:rFonts w:eastAsia="Calibri"/>
        </w:rPr>
        <w:t xml:space="preserve">.  It held that </w:t>
      </w:r>
      <w:r w:rsidR="00A712A8" w:rsidRPr="00EB32EF">
        <w:rPr>
          <w:rFonts w:eastAsia="Calibri"/>
        </w:rPr>
        <w:t xml:space="preserve">IPL </w:t>
      </w:r>
      <w:r w:rsidR="00A730B5" w:rsidRPr="00EB32EF">
        <w:rPr>
          <w:rFonts w:eastAsia="Calibri"/>
        </w:rPr>
        <w:t xml:space="preserve">was responsible for all </w:t>
      </w:r>
      <w:r w:rsidR="00CB4F86">
        <w:rPr>
          <w:rFonts w:eastAsia="Calibri"/>
        </w:rPr>
        <w:t xml:space="preserve">of </w:t>
      </w:r>
      <w:r w:rsidR="00A730B5" w:rsidRPr="00EB32EF">
        <w:rPr>
          <w:rFonts w:eastAsia="Calibri"/>
        </w:rPr>
        <w:t>the</w:t>
      </w:r>
      <w:r w:rsidR="00636CF2">
        <w:rPr>
          <w:rFonts w:eastAsia="Calibri"/>
        </w:rPr>
        <w:t>m</w:t>
      </w:r>
      <w:r w:rsidR="00563E23">
        <w:rPr>
          <w:rFonts w:eastAsia="Calibri"/>
        </w:rPr>
        <w:t>,</w:t>
      </w:r>
      <w:r w:rsidR="00A730B5" w:rsidRPr="00EB32EF">
        <w:rPr>
          <w:rFonts w:eastAsia="Calibri"/>
        </w:rPr>
        <w:t xml:space="preserve"> and that </w:t>
      </w:r>
      <w:r w:rsidR="00277F24">
        <w:rPr>
          <w:rFonts w:eastAsia="Calibri"/>
        </w:rPr>
        <w:t xml:space="preserve">Mr Timis and Mr Sage </w:t>
      </w:r>
      <w:r w:rsidR="00F910B0" w:rsidRPr="00EB32EF">
        <w:rPr>
          <w:rFonts w:eastAsia="Calibri"/>
        </w:rPr>
        <w:t xml:space="preserve">were </w:t>
      </w:r>
      <w:r w:rsidR="00277F24">
        <w:rPr>
          <w:rFonts w:eastAsia="Calibri"/>
        </w:rPr>
        <w:t xml:space="preserve">each </w:t>
      </w:r>
      <w:r w:rsidR="00636CF2">
        <w:rPr>
          <w:rFonts w:eastAsia="Calibri"/>
        </w:rPr>
        <w:t>responsible for some</w:t>
      </w:r>
      <w:r w:rsidR="00277F24">
        <w:rPr>
          <w:rFonts w:eastAsia="Calibri"/>
        </w:rPr>
        <w:t xml:space="preserve"> (more in Mr Timis’s case than Mr Sage’s): both of them were held responsible for </w:t>
      </w:r>
      <w:r w:rsidR="00563E23">
        <w:rPr>
          <w:rFonts w:eastAsia="Calibri"/>
        </w:rPr>
        <w:t xml:space="preserve">detriment </w:t>
      </w:r>
      <w:r w:rsidR="002E100A">
        <w:rPr>
          <w:rFonts w:eastAsia="Calibri"/>
        </w:rPr>
        <w:t>(m)</w:t>
      </w:r>
      <w:r w:rsidR="00F910B0" w:rsidRPr="00EB32EF">
        <w:rPr>
          <w:rFonts w:eastAsia="Calibri"/>
        </w:rPr>
        <w:t>.</w:t>
      </w:r>
      <w:r w:rsidR="002E100A">
        <w:rPr>
          <w:rFonts w:eastAsia="Calibri"/>
        </w:rPr>
        <w:t xml:space="preserve"> </w:t>
      </w:r>
    </w:p>
    <w:p w:rsidR="00E04151" w:rsidRDefault="00493EF9" w:rsidP="00763FDB">
      <w:pPr>
        <w:pStyle w:val="ParaLevel1"/>
        <w:rPr>
          <w:rFonts w:eastAsia="Calibri"/>
        </w:rPr>
      </w:pPr>
      <w:r>
        <w:rPr>
          <w:rFonts w:eastAsia="Calibri"/>
        </w:rPr>
        <w:t xml:space="preserve">As to remedy, the formal decision </w:t>
      </w:r>
      <w:r w:rsidR="00E04151">
        <w:rPr>
          <w:rFonts w:eastAsia="Calibri"/>
        </w:rPr>
        <w:t xml:space="preserve">under head (iv) of </w:t>
      </w:r>
      <w:r>
        <w:rPr>
          <w:rFonts w:eastAsia="Calibri"/>
        </w:rPr>
        <w:t xml:space="preserve">the Judgment </w:t>
      </w:r>
      <w:r w:rsidR="00E04151">
        <w:rPr>
          <w:rFonts w:eastAsia="Calibri"/>
        </w:rPr>
        <w:t>was that:</w:t>
      </w:r>
    </w:p>
    <w:p w:rsidR="00E04151" w:rsidRDefault="00EA1544" w:rsidP="00763FDB">
      <w:pPr>
        <w:pStyle w:val="ParaLevel1"/>
        <w:numPr>
          <w:ilvl w:val="0"/>
          <w:numId w:val="0"/>
        </w:numPr>
        <w:ind w:left="1418" w:right="793"/>
        <w:rPr>
          <w:rFonts w:eastAsia="Calibri"/>
        </w:rPr>
      </w:pPr>
      <w:r>
        <w:rPr>
          <w:rFonts w:eastAsia="Calibri"/>
        </w:rPr>
        <w:t>“</w:t>
      </w:r>
      <w:r w:rsidR="00E04151">
        <w:rPr>
          <w:rFonts w:eastAsia="Calibri"/>
        </w:rPr>
        <w:t xml:space="preserve">The Claimant is entitled to be paid the sum </w:t>
      </w:r>
      <w:r>
        <w:rPr>
          <w:rFonts w:eastAsia="Calibri"/>
        </w:rPr>
        <w:t xml:space="preserve">of </w:t>
      </w:r>
      <w:r w:rsidRPr="00EB32EF">
        <w:rPr>
          <w:rFonts w:eastAsia="Calibri"/>
        </w:rPr>
        <w:t>£843,372.56</w:t>
      </w:r>
      <w:r>
        <w:rPr>
          <w:rFonts w:eastAsia="Calibri"/>
        </w:rPr>
        <w:t xml:space="preserve"> as compensation for unfair dismissal and detriment for making protected disclosures.”</w:t>
      </w:r>
    </w:p>
    <w:p w:rsidR="00653313" w:rsidRDefault="00F04552" w:rsidP="00763FDB">
      <w:pPr>
        <w:pStyle w:val="ParaLevel1"/>
        <w:numPr>
          <w:ilvl w:val="0"/>
          <w:numId w:val="0"/>
        </w:numPr>
        <w:ind w:left="720"/>
        <w:rPr>
          <w:rFonts w:eastAsia="Calibri"/>
        </w:rPr>
      </w:pPr>
      <w:r>
        <w:rPr>
          <w:rFonts w:eastAsia="Calibri"/>
        </w:rPr>
        <w:t>Head (v) records that that sum is “provisional”</w:t>
      </w:r>
      <w:r w:rsidR="00563E23">
        <w:rPr>
          <w:rFonts w:eastAsia="Calibri"/>
        </w:rPr>
        <w:t>,</w:t>
      </w:r>
      <w:r>
        <w:rPr>
          <w:rFonts w:eastAsia="Calibri"/>
        </w:rPr>
        <w:t xml:space="preserve"> because it is subject to grossing-up to a</w:t>
      </w:r>
      <w:r w:rsidR="00653313">
        <w:rPr>
          <w:rFonts w:eastAsia="Calibri"/>
        </w:rPr>
        <w:t>llow for the incidence of tax</w:t>
      </w:r>
      <w:r w:rsidR="00563E23">
        <w:rPr>
          <w:rFonts w:eastAsia="Calibri"/>
        </w:rPr>
        <w:t>,</w:t>
      </w:r>
      <w:r w:rsidR="00653313">
        <w:rPr>
          <w:rFonts w:eastAsia="Calibri"/>
        </w:rPr>
        <w:t xml:space="preserve"> and </w:t>
      </w:r>
      <w:r w:rsidR="00541DD9">
        <w:rPr>
          <w:rFonts w:eastAsia="Calibri"/>
        </w:rPr>
        <w:t xml:space="preserve">it </w:t>
      </w:r>
      <w:r w:rsidR="00653313">
        <w:rPr>
          <w:rFonts w:eastAsia="Calibri"/>
        </w:rPr>
        <w:t>gives liberty to the parties to apply if they cannot reach agreement on the appropriate grossed-up figure.</w:t>
      </w:r>
      <w:r w:rsidR="00C95225">
        <w:rPr>
          <w:rFonts w:eastAsia="Calibri"/>
        </w:rPr>
        <w:t xml:space="preserve">  </w:t>
      </w:r>
    </w:p>
    <w:p w:rsidR="004D264F" w:rsidRDefault="00541DD9" w:rsidP="00763FDB">
      <w:pPr>
        <w:pStyle w:val="ParaLevel1"/>
        <w:rPr>
          <w:rFonts w:eastAsia="Calibri"/>
        </w:rPr>
      </w:pPr>
      <w:r>
        <w:rPr>
          <w:rFonts w:eastAsia="Calibri"/>
        </w:rPr>
        <w:t>It will be observed that the J</w:t>
      </w:r>
      <w:r w:rsidR="00653313">
        <w:rPr>
          <w:rFonts w:eastAsia="Calibri"/>
        </w:rPr>
        <w:t xml:space="preserve">udgment rolls up the award for unfair dismissal and </w:t>
      </w:r>
      <w:r w:rsidR="009E6FE8">
        <w:rPr>
          <w:rFonts w:eastAsia="Calibri"/>
        </w:rPr>
        <w:t xml:space="preserve">for the unlawful detriments.  A break-down appears </w:t>
      </w:r>
      <w:r w:rsidR="000D7389">
        <w:rPr>
          <w:rFonts w:eastAsia="Calibri"/>
        </w:rPr>
        <w:t xml:space="preserve">at </w:t>
      </w:r>
      <w:r w:rsidR="00C30476" w:rsidRPr="000D7389">
        <w:rPr>
          <w:rFonts w:eastAsia="Calibri"/>
        </w:rPr>
        <w:t xml:space="preserve">para. 179 </w:t>
      </w:r>
      <w:r w:rsidR="000D7389">
        <w:rPr>
          <w:rFonts w:eastAsia="Calibri"/>
        </w:rPr>
        <w:t>of the Reasons, w</w:t>
      </w:r>
      <w:r w:rsidR="00714E9A">
        <w:rPr>
          <w:rFonts w:eastAsia="Calibri"/>
        </w:rPr>
        <w:t xml:space="preserve">hich identifies </w:t>
      </w:r>
      <w:r w:rsidR="00C938B7">
        <w:rPr>
          <w:rFonts w:eastAsia="Calibri"/>
        </w:rPr>
        <w:t>four</w:t>
      </w:r>
      <w:r w:rsidR="00714E9A">
        <w:rPr>
          <w:rFonts w:eastAsia="Calibri"/>
        </w:rPr>
        <w:t xml:space="preserve"> elements – (a) </w:t>
      </w:r>
      <w:r w:rsidR="00C30476" w:rsidRPr="00714E9A">
        <w:rPr>
          <w:rFonts w:eastAsia="Calibri"/>
        </w:rPr>
        <w:t>£563,461.92</w:t>
      </w:r>
      <w:r w:rsidR="00714E9A">
        <w:rPr>
          <w:rFonts w:eastAsia="Calibri"/>
        </w:rPr>
        <w:t>,</w:t>
      </w:r>
      <w:r w:rsidR="00C30476" w:rsidRPr="00714E9A">
        <w:rPr>
          <w:rFonts w:eastAsia="Calibri"/>
        </w:rPr>
        <w:t xml:space="preserve"> described as “the award for unfair dismissal”</w:t>
      </w:r>
      <w:r w:rsidR="004D264F" w:rsidRPr="00714E9A">
        <w:rPr>
          <w:rFonts w:eastAsia="Calibri"/>
        </w:rPr>
        <w:t>;</w:t>
      </w:r>
      <w:r w:rsidR="00714E9A">
        <w:rPr>
          <w:rFonts w:eastAsia="Calibri"/>
        </w:rPr>
        <w:t xml:space="preserve"> (b) </w:t>
      </w:r>
      <w:r w:rsidR="004D264F" w:rsidRPr="00714E9A">
        <w:rPr>
          <w:rFonts w:eastAsia="Calibri"/>
        </w:rPr>
        <w:t xml:space="preserve">£16,500 </w:t>
      </w:r>
      <w:r w:rsidR="00714E9A">
        <w:rPr>
          <w:rFonts w:eastAsia="Calibri"/>
        </w:rPr>
        <w:t>“in</w:t>
      </w:r>
      <w:r w:rsidR="00C938B7">
        <w:rPr>
          <w:rFonts w:eastAsia="Calibri"/>
        </w:rPr>
        <w:t xml:space="preserve"> respect of injury to feelings”; </w:t>
      </w:r>
      <w:r w:rsidR="00714E9A">
        <w:rPr>
          <w:rFonts w:eastAsia="Calibri"/>
        </w:rPr>
        <w:t>(c)</w:t>
      </w:r>
      <w:r w:rsidR="00C938B7">
        <w:rPr>
          <w:rFonts w:eastAsia="Calibri"/>
        </w:rPr>
        <w:t xml:space="preserve"> £169</w:t>
      </w:r>
      <w:r w:rsidR="00442668">
        <w:rPr>
          <w:rFonts w:eastAsia="Calibri"/>
        </w:rPr>
        <w:t>,702.58 “for unpaid salary”;</w:t>
      </w:r>
      <w:r w:rsidR="004D264F" w:rsidRPr="00714E9A">
        <w:rPr>
          <w:rFonts w:eastAsia="Calibri"/>
        </w:rPr>
        <w:t xml:space="preserve"> and </w:t>
      </w:r>
      <w:r w:rsidR="00442668">
        <w:rPr>
          <w:rFonts w:eastAsia="Calibri"/>
        </w:rPr>
        <w:t>(d) £93,708</w:t>
      </w:r>
      <w:r w:rsidR="00C760CA">
        <w:rPr>
          <w:rFonts w:eastAsia="Calibri"/>
        </w:rPr>
        <w:t>.06 by way of a 12.5% uplift for failure to comply with the ACAS Code (see</w:t>
      </w:r>
      <w:r w:rsidR="00CD620C">
        <w:rPr>
          <w:rFonts w:eastAsia="Calibri"/>
        </w:rPr>
        <w:t xml:space="preserve"> section 207A of the Trade Unio</w:t>
      </w:r>
      <w:r w:rsidR="00C760CA">
        <w:rPr>
          <w:rFonts w:eastAsia="Calibri"/>
        </w:rPr>
        <w:t>n and Labour Relations (Consolidation) Act 1992</w:t>
      </w:r>
      <w:r w:rsidR="00CD620C">
        <w:rPr>
          <w:rFonts w:eastAsia="Calibri"/>
        </w:rPr>
        <w:t>)</w:t>
      </w:r>
      <w:r w:rsidR="00C760CA">
        <w:rPr>
          <w:rFonts w:eastAsia="Calibri"/>
        </w:rPr>
        <w:t>.</w:t>
      </w:r>
      <w:r w:rsidR="00CD620C">
        <w:rPr>
          <w:rFonts w:eastAsia="Calibri"/>
        </w:rPr>
        <w:t xml:space="preserve">  Some points need to be made about that </w:t>
      </w:r>
      <w:r w:rsidR="007A2338">
        <w:rPr>
          <w:rFonts w:eastAsia="Calibri"/>
        </w:rPr>
        <w:t>assessment</w:t>
      </w:r>
      <w:r w:rsidR="00CD620C">
        <w:rPr>
          <w:rFonts w:eastAsia="Calibri"/>
        </w:rPr>
        <w:t>:</w:t>
      </w:r>
    </w:p>
    <w:p w:rsidR="00CD620C" w:rsidRPr="00714E9A" w:rsidRDefault="00CD620C" w:rsidP="00763FDB">
      <w:pPr>
        <w:pStyle w:val="ParaLevel1"/>
        <w:numPr>
          <w:ilvl w:val="0"/>
          <w:numId w:val="0"/>
        </w:numPr>
        <w:ind w:left="1287" w:hanging="567"/>
        <w:rPr>
          <w:rFonts w:eastAsia="Calibri"/>
        </w:rPr>
      </w:pPr>
      <w:r>
        <w:rPr>
          <w:rFonts w:eastAsia="Calibri"/>
        </w:rPr>
        <w:t>(1)</w:t>
      </w:r>
      <w:r>
        <w:rPr>
          <w:rFonts w:eastAsia="Calibri"/>
        </w:rPr>
        <w:tab/>
      </w:r>
      <w:r w:rsidR="00992B82">
        <w:rPr>
          <w:rFonts w:eastAsia="Calibri"/>
        </w:rPr>
        <w:t>The J</w:t>
      </w:r>
      <w:r w:rsidR="007A2338">
        <w:rPr>
          <w:rFonts w:eastAsia="Calibri"/>
        </w:rPr>
        <w:t>udgment does not specify who i</w:t>
      </w:r>
      <w:r w:rsidR="008E09EA">
        <w:rPr>
          <w:rFonts w:eastAsia="Calibri"/>
        </w:rPr>
        <w:t xml:space="preserve">s responsible for what element.  The solicitors for </w:t>
      </w:r>
      <w:r w:rsidR="00992B82">
        <w:rPr>
          <w:rFonts w:eastAsia="Calibri"/>
        </w:rPr>
        <w:t xml:space="preserve">the Appellants </w:t>
      </w:r>
      <w:r w:rsidR="00A350D7">
        <w:rPr>
          <w:rFonts w:eastAsia="Calibri"/>
        </w:rPr>
        <w:t>wrote to the ET asking for clarification and pointing out that since only the employ</w:t>
      </w:r>
      <w:r w:rsidR="008E09EA">
        <w:rPr>
          <w:rFonts w:eastAsia="Calibri"/>
        </w:rPr>
        <w:t>er can be</w:t>
      </w:r>
      <w:r w:rsidR="00A350D7">
        <w:rPr>
          <w:rFonts w:eastAsia="Calibri"/>
        </w:rPr>
        <w:t xml:space="preserve"> liable for unfair dismissal </w:t>
      </w:r>
      <w:r w:rsidR="00E60A8F">
        <w:rPr>
          <w:rFonts w:eastAsia="Calibri"/>
        </w:rPr>
        <w:t xml:space="preserve">they could not be liable for </w:t>
      </w:r>
      <w:r w:rsidR="00A350D7">
        <w:rPr>
          <w:rFonts w:eastAsia="Calibri"/>
        </w:rPr>
        <w:t>element (a)</w:t>
      </w:r>
      <w:r w:rsidR="004B4745">
        <w:rPr>
          <w:rFonts w:eastAsia="Calibri"/>
        </w:rPr>
        <w:t>.</w:t>
      </w:r>
    </w:p>
    <w:p w:rsidR="000B04B7" w:rsidRDefault="00E006E7" w:rsidP="00763FDB">
      <w:pPr>
        <w:pStyle w:val="ParaLevel1"/>
        <w:numPr>
          <w:ilvl w:val="0"/>
          <w:numId w:val="0"/>
        </w:numPr>
        <w:ind w:left="1287" w:hanging="567"/>
        <w:rPr>
          <w:color w:val="000000"/>
          <w:szCs w:val="24"/>
        </w:rPr>
      </w:pPr>
      <w:r>
        <w:rPr>
          <w:rFonts w:eastAsia="Calibri"/>
        </w:rPr>
        <w:t>(2</w:t>
      </w:r>
      <w:r w:rsidR="004D264F">
        <w:rPr>
          <w:rFonts w:eastAsia="Calibri"/>
        </w:rPr>
        <w:t>)</w:t>
      </w:r>
      <w:r>
        <w:rPr>
          <w:rFonts w:eastAsia="Calibri"/>
        </w:rPr>
        <w:tab/>
      </w:r>
      <w:r w:rsidR="001C0A37">
        <w:rPr>
          <w:rFonts w:eastAsia="Calibri"/>
        </w:rPr>
        <w:t>As already noted, it is well established</w:t>
      </w:r>
      <w:r w:rsidR="005338E0">
        <w:rPr>
          <w:color w:val="000000"/>
          <w:szCs w:val="24"/>
        </w:rPr>
        <w:t xml:space="preserve"> that in an unfair dismissal case no award can be made for injury to feelings. </w:t>
      </w:r>
      <w:r w:rsidR="00737BA8">
        <w:rPr>
          <w:color w:val="000000"/>
          <w:szCs w:val="24"/>
        </w:rPr>
        <w:t xml:space="preserve"> Element (b) must therefore be in respect </w:t>
      </w:r>
      <w:r w:rsidR="00E6017D">
        <w:rPr>
          <w:color w:val="000000"/>
          <w:szCs w:val="24"/>
        </w:rPr>
        <w:t xml:space="preserve">only </w:t>
      </w:r>
      <w:r w:rsidR="00737BA8">
        <w:rPr>
          <w:color w:val="000000"/>
          <w:szCs w:val="24"/>
        </w:rPr>
        <w:t xml:space="preserve">of injury to feelings caused by the unlawful detriments </w:t>
      </w:r>
      <w:r w:rsidR="00067967">
        <w:rPr>
          <w:color w:val="000000"/>
          <w:szCs w:val="24"/>
        </w:rPr>
        <w:t>found by the t</w:t>
      </w:r>
      <w:r w:rsidR="00E47F69">
        <w:rPr>
          <w:color w:val="000000"/>
          <w:szCs w:val="24"/>
        </w:rPr>
        <w:t>ribunal.</w:t>
      </w:r>
      <w:r w:rsidR="00924636">
        <w:rPr>
          <w:color w:val="000000"/>
          <w:szCs w:val="24"/>
        </w:rPr>
        <w:t xml:space="preserve">  </w:t>
      </w:r>
      <w:r w:rsidR="00737BA8">
        <w:rPr>
          <w:color w:val="000000"/>
          <w:szCs w:val="24"/>
        </w:rPr>
        <w:t xml:space="preserve">The </w:t>
      </w:r>
      <w:r w:rsidR="006C6EF1">
        <w:rPr>
          <w:color w:val="000000"/>
          <w:szCs w:val="24"/>
        </w:rPr>
        <w:t>discuss</w:t>
      </w:r>
      <w:r w:rsidR="00737BA8">
        <w:rPr>
          <w:color w:val="000000"/>
          <w:szCs w:val="24"/>
        </w:rPr>
        <w:t>ion of</w:t>
      </w:r>
      <w:r w:rsidR="006C6EF1">
        <w:rPr>
          <w:color w:val="000000"/>
          <w:szCs w:val="24"/>
        </w:rPr>
        <w:t xml:space="preserve"> </w:t>
      </w:r>
      <w:r w:rsidR="00E6017D">
        <w:rPr>
          <w:color w:val="000000"/>
          <w:szCs w:val="24"/>
        </w:rPr>
        <w:t>the amount of the award</w:t>
      </w:r>
      <w:r w:rsidR="006C6EF1">
        <w:rPr>
          <w:color w:val="000000"/>
          <w:szCs w:val="24"/>
        </w:rPr>
        <w:t xml:space="preserve"> </w:t>
      </w:r>
      <w:r w:rsidR="00737BA8">
        <w:rPr>
          <w:color w:val="000000"/>
          <w:szCs w:val="24"/>
        </w:rPr>
        <w:t>at paras. 146-</w:t>
      </w:r>
      <w:r w:rsidR="001C0A37">
        <w:rPr>
          <w:color w:val="000000"/>
          <w:szCs w:val="24"/>
        </w:rPr>
        <w:t>14</w:t>
      </w:r>
      <w:r w:rsidR="00737BA8">
        <w:rPr>
          <w:color w:val="000000"/>
          <w:szCs w:val="24"/>
        </w:rPr>
        <w:t>9 appear</w:t>
      </w:r>
      <w:r w:rsidR="00924636">
        <w:rPr>
          <w:color w:val="000000"/>
          <w:szCs w:val="24"/>
        </w:rPr>
        <w:t>s</w:t>
      </w:r>
      <w:r w:rsidR="00737BA8">
        <w:rPr>
          <w:color w:val="000000"/>
          <w:szCs w:val="24"/>
        </w:rPr>
        <w:t xml:space="preserve"> to proceed on that basis, though </w:t>
      </w:r>
      <w:r w:rsidR="00924636">
        <w:rPr>
          <w:color w:val="000000"/>
          <w:szCs w:val="24"/>
        </w:rPr>
        <w:t xml:space="preserve">the point is not expressly adverted to.  There is no other head of compensation </w:t>
      </w:r>
      <w:r w:rsidR="00517E1C">
        <w:rPr>
          <w:color w:val="000000"/>
          <w:szCs w:val="24"/>
        </w:rPr>
        <w:t>in</w:t>
      </w:r>
      <w:r w:rsidR="00BC1637">
        <w:rPr>
          <w:color w:val="000000"/>
          <w:szCs w:val="24"/>
        </w:rPr>
        <w:t xml:space="preserve"> respect of th</w:t>
      </w:r>
      <w:r w:rsidR="00E6017D">
        <w:rPr>
          <w:color w:val="000000"/>
          <w:szCs w:val="24"/>
        </w:rPr>
        <w:t>e detriments: t</w:t>
      </w:r>
      <w:r w:rsidR="00517E1C">
        <w:rPr>
          <w:color w:val="000000"/>
          <w:szCs w:val="24"/>
        </w:rPr>
        <w:t>hat presumably reflects the fact that they were not alleged to have caused any pecuniary loss</w:t>
      </w:r>
      <w:r w:rsidR="00294E39">
        <w:rPr>
          <w:color w:val="000000"/>
          <w:szCs w:val="24"/>
        </w:rPr>
        <w:t xml:space="preserve"> beyond that caused by the dismissal.</w:t>
      </w:r>
    </w:p>
    <w:p w:rsidR="00B0086D" w:rsidRPr="00BC1637" w:rsidRDefault="000B04B7" w:rsidP="00763FDB">
      <w:pPr>
        <w:pStyle w:val="ParaLevel1"/>
        <w:numPr>
          <w:ilvl w:val="0"/>
          <w:numId w:val="0"/>
        </w:numPr>
        <w:ind w:left="1287" w:hanging="567"/>
        <w:rPr>
          <w:color w:val="000000"/>
          <w:szCs w:val="24"/>
        </w:rPr>
      </w:pPr>
      <w:r>
        <w:rPr>
          <w:color w:val="000000"/>
          <w:szCs w:val="24"/>
        </w:rPr>
        <w:t>(3)</w:t>
      </w:r>
      <w:r>
        <w:rPr>
          <w:color w:val="000000"/>
          <w:szCs w:val="24"/>
        </w:rPr>
        <w:tab/>
        <w:t>Element (c)</w:t>
      </w:r>
      <w:r w:rsidR="009A460B">
        <w:rPr>
          <w:color w:val="000000"/>
          <w:szCs w:val="24"/>
        </w:rPr>
        <w:t xml:space="preserve"> looks</w:t>
      </w:r>
      <w:r>
        <w:rPr>
          <w:color w:val="000000"/>
          <w:szCs w:val="24"/>
        </w:rPr>
        <w:t xml:space="preserve"> </w:t>
      </w:r>
      <w:r w:rsidR="00294E39">
        <w:rPr>
          <w:color w:val="000000"/>
          <w:szCs w:val="24"/>
        </w:rPr>
        <w:t>odd</w:t>
      </w:r>
      <w:r>
        <w:rPr>
          <w:color w:val="000000"/>
          <w:szCs w:val="24"/>
        </w:rPr>
        <w:t xml:space="preserve"> because there was no </w:t>
      </w:r>
      <w:r w:rsidR="00971DF5">
        <w:rPr>
          <w:color w:val="000000"/>
          <w:szCs w:val="24"/>
        </w:rPr>
        <w:t>claim in the proceedings for unpaid wages</w:t>
      </w:r>
      <w:r w:rsidR="009A460B">
        <w:rPr>
          <w:color w:val="000000"/>
          <w:szCs w:val="24"/>
        </w:rPr>
        <w:t xml:space="preserve"> under Part II of the 1996 Act</w:t>
      </w:r>
      <w:r w:rsidR="00971DF5">
        <w:rPr>
          <w:color w:val="000000"/>
          <w:szCs w:val="24"/>
        </w:rPr>
        <w:t>.  Howev</w:t>
      </w:r>
      <w:r w:rsidR="00BC1637">
        <w:rPr>
          <w:color w:val="000000"/>
          <w:szCs w:val="24"/>
        </w:rPr>
        <w:t>er</w:t>
      </w:r>
      <w:r w:rsidR="00C7541F">
        <w:rPr>
          <w:color w:val="000000"/>
          <w:szCs w:val="24"/>
        </w:rPr>
        <w:t xml:space="preserve">, the EAT subsequently held that the ET must have had in mind </w:t>
      </w:r>
      <w:r w:rsidR="009A460B">
        <w:rPr>
          <w:color w:val="000000"/>
          <w:szCs w:val="24"/>
        </w:rPr>
        <w:t>a specific provision in the Claimant’s contract which entitled him to be paid on termination “any accrued salary and bonuses”</w:t>
      </w:r>
      <w:r w:rsidR="001154F3">
        <w:rPr>
          <w:color w:val="000000"/>
          <w:szCs w:val="24"/>
        </w:rPr>
        <w:t xml:space="preserve"> and that </w:t>
      </w:r>
      <w:r w:rsidR="000A291D">
        <w:rPr>
          <w:color w:val="000000"/>
          <w:szCs w:val="24"/>
        </w:rPr>
        <w:t xml:space="preserve">the authorities establish that </w:t>
      </w:r>
      <w:r w:rsidR="001154F3">
        <w:rPr>
          <w:color w:val="000000"/>
          <w:szCs w:val="24"/>
        </w:rPr>
        <w:t xml:space="preserve">a claim to such a sum can be advanced by way of compensation under </w:t>
      </w:r>
      <w:r w:rsidR="00834321">
        <w:rPr>
          <w:color w:val="000000"/>
          <w:szCs w:val="24"/>
        </w:rPr>
        <w:t xml:space="preserve">section 123 of the Act: see para. 203 of the judgment of Simler P.  </w:t>
      </w:r>
      <w:r w:rsidR="001154F3">
        <w:rPr>
          <w:color w:val="000000"/>
          <w:szCs w:val="24"/>
        </w:rPr>
        <w:t xml:space="preserve"> </w:t>
      </w:r>
      <w:r w:rsidR="00834321">
        <w:rPr>
          <w:color w:val="000000"/>
          <w:szCs w:val="24"/>
        </w:rPr>
        <w:t>There is no appeal against that decision.</w:t>
      </w:r>
    </w:p>
    <w:p w:rsidR="00CE3FEE" w:rsidRDefault="00AF4B62" w:rsidP="00763FDB">
      <w:pPr>
        <w:pStyle w:val="ParaLevel1"/>
        <w:rPr>
          <w:rFonts w:eastAsia="Calibri"/>
        </w:rPr>
      </w:pPr>
      <w:r>
        <w:rPr>
          <w:rFonts w:eastAsia="Calibri"/>
        </w:rPr>
        <w:t xml:space="preserve">There was </w:t>
      </w:r>
      <w:r w:rsidR="006F3226">
        <w:rPr>
          <w:rFonts w:eastAsia="Calibri"/>
        </w:rPr>
        <w:t>a further hearing i</w:t>
      </w:r>
      <w:r>
        <w:rPr>
          <w:rFonts w:eastAsia="Calibri"/>
        </w:rPr>
        <w:t xml:space="preserve">n </w:t>
      </w:r>
      <w:r w:rsidR="00CC4FC8">
        <w:rPr>
          <w:rFonts w:eastAsia="Calibri"/>
        </w:rPr>
        <w:t xml:space="preserve">the ET in </w:t>
      </w:r>
      <w:r>
        <w:rPr>
          <w:rFonts w:eastAsia="Calibri"/>
        </w:rPr>
        <w:t xml:space="preserve">November </w:t>
      </w:r>
      <w:r w:rsidR="006F3226">
        <w:rPr>
          <w:rFonts w:eastAsia="Calibri"/>
        </w:rPr>
        <w:t xml:space="preserve">2016, in order </w:t>
      </w:r>
      <w:r w:rsidR="00936939">
        <w:rPr>
          <w:rFonts w:eastAsia="Calibri"/>
        </w:rPr>
        <w:t>(inter alia)</w:t>
      </w:r>
      <w:r w:rsidR="00A128B5">
        <w:rPr>
          <w:rFonts w:eastAsia="Calibri"/>
        </w:rPr>
        <w:t xml:space="preserve"> </w:t>
      </w:r>
      <w:r w:rsidR="00936939">
        <w:rPr>
          <w:rFonts w:eastAsia="Calibri"/>
        </w:rPr>
        <w:t xml:space="preserve">to decide </w:t>
      </w:r>
      <w:r w:rsidR="00A128B5">
        <w:rPr>
          <w:rFonts w:eastAsia="Calibri"/>
        </w:rPr>
        <w:t>the grossed-up final award, on which the parties had failed to agree</w:t>
      </w:r>
      <w:r w:rsidR="00041BFA">
        <w:rPr>
          <w:rFonts w:eastAsia="Calibri"/>
        </w:rPr>
        <w:t>,</w:t>
      </w:r>
      <w:r w:rsidR="00A128B5">
        <w:rPr>
          <w:rFonts w:eastAsia="Calibri"/>
        </w:rPr>
        <w:t xml:space="preserve"> </w:t>
      </w:r>
      <w:r w:rsidR="00936939">
        <w:rPr>
          <w:rFonts w:eastAsia="Calibri"/>
        </w:rPr>
        <w:t xml:space="preserve">and to </w:t>
      </w:r>
      <w:r w:rsidR="00CD74B7">
        <w:rPr>
          <w:rFonts w:eastAsia="Calibri"/>
        </w:rPr>
        <w:t xml:space="preserve">consider the </w:t>
      </w:r>
      <w:r w:rsidR="005D300D">
        <w:rPr>
          <w:rFonts w:eastAsia="Calibri"/>
        </w:rPr>
        <w:t>point raised by</w:t>
      </w:r>
      <w:r w:rsidR="00CD74B7">
        <w:rPr>
          <w:rFonts w:eastAsia="Calibri"/>
        </w:rPr>
        <w:t xml:space="preserve"> </w:t>
      </w:r>
      <w:r w:rsidR="009F4CDD">
        <w:rPr>
          <w:rFonts w:eastAsia="Calibri"/>
        </w:rPr>
        <w:t>the Appellants</w:t>
      </w:r>
      <w:r w:rsidR="00CD74B7">
        <w:rPr>
          <w:rFonts w:eastAsia="Calibri"/>
        </w:rPr>
        <w:t xml:space="preserve"> noted at para. </w:t>
      </w:r>
      <w:r w:rsidR="009F4CDD">
        <w:rPr>
          <w:rFonts w:eastAsia="Calibri"/>
        </w:rPr>
        <w:t>39</w:t>
      </w:r>
      <w:r w:rsidR="00CD74B7">
        <w:rPr>
          <w:rFonts w:eastAsia="Calibri"/>
        </w:rPr>
        <w:t xml:space="preserve"> (</w:t>
      </w:r>
      <w:r w:rsidR="009F4CDD">
        <w:rPr>
          <w:rFonts w:eastAsia="Calibri"/>
        </w:rPr>
        <w:t>1</w:t>
      </w:r>
      <w:r w:rsidR="00CD74B7">
        <w:rPr>
          <w:rFonts w:eastAsia="Calibri"/>
        </w:rPr>
        <w:t xml:space="preserve">) above.  The </w:t>
      </w:r>
      <w:r w:rsidR="00067967">
        <w:rPr>
          <w:rFonts w:eastAsia="Calibri"/>
        </w:rPr>
        <w:t>t</w:t>
      </w:r>
      <w:r w:rsidR="00CC4FC8">
        <w:rPr>
          <w:rFonts w:eastAsia="Calibri"/>
        </w:rPr>
        <w:t xml:space="preserve">ribunal reserved its decision, and a </w:t>
      </w:r>
      <w:r w:rsidR="00A22BEB">
        <w:rPr>
          <w:rFonts w:eastAsia="Calibri"/>
        </w:rPr>
        <w:t>Judgment and</w:t>
      </w:r>
      <w:r w:rsidR="00553A14">
        <w:rPr>
          <w:rFonts w:eastAsia="Calibri"/>
        </w:rPr>
        <w:t xml:space="preserve"> Reasons we</w:t>
      </w:r>
      <w:r w:rsidR="0063038C">
        <w:rPr>
          <w:rFonts w:eastAsia="Calibri"/>
        </w:rPr>
        <w:t xml:space="preserve">re sent to the parties </w:t>
      </w:r>
      <w:r w:rsidR="00553A14">
        <w:rPr>
          <w:rFonts w:eastAsia="Calibri"/>
        </w:rPr>
        <w:t>on 5 December 2016.</w:t>
      </w:r>
      <w:r w:rsidR="00CC4FC8">
        <w:rPr>
          <w:rFonts w:eastAsia="Calibri"/>
        </w:rPr>
        <w:t xml:space="preserve">  </w:t>
      </w:r>
      <w:r w:rsidR="009F4CDD">
        <w:rPr>
          <w:rFonts w:eastAsia="Calibri"/>
        </w:rPr>
        <w:t xml:space="preserve">The decision can be summarised </w:t>
      </w:r>
      <w:r w:rsidR="00E50268">
        <w:rPr>
          <w:rFonts w:eastAsia="Calibri"/>
        </w:rPr>
        <w:t>for present purposes as follows.</w:t>
      </w:r>
    </w:p>
    <w:p w:rsidR="00CE3FEE" w:rsidRDefault="000B0411" w:rsidP="00763FDB">
      <w:pPr>
        <w:pStyle w:val="ParaLevel1"/>
        <w:rPr>
          <w:rFonts w:eastAsia="Calibri"/>
        </w:rPr>
      </w:pPr>
      <w:r w:rsidRPr="00CC4FC8">
        <w:rPr>
          <w:rFonts w:eastAsia="Calibri"/>
        </w:rPr>
        <w:t>As regards the grossing up</w:t>
      </w:r>
      <w:r w:rsidR="00CC4FC8">
        <w:rPr>
          <w:rFonts w:eastAsia="Calibri"/>
        </w:rPr>
        <w:t xml:space="preserve">, the </w:t>
      </w:r>
      <w:r w:rsidR="00903810">
        <w:rPr>
          <w:rFonts w:eastAsia="Calibri"/>
        </w:rPr>
        <w:t>final award of “compensation for unfair dismissal and detr</w:t>
      </w:r>
      <w:r w:rsidR="00EE5C97">
        <w:rPr>
          <w:rFonts w:eastAsia="Calibri"/>
        </w:rPr>
        <w:t>iment for making protected discl</w:t>
      </w:r>
      <w:r w:rsidR="00903810">
        <w:rPr>
          <w:rFonts w:eastAsia="Calibri"/>
        </w:rPr>
        <w:t xml:space="preserve">osures” was quantified </w:t>
      </w:r>
      <w:r w:rsidR="00EE5C97">
        <w:rPr>
          <w:rFonts w:eastAsia="Calibri"/>
        </w:rPr>
        <w:t xml:space="preserve">in the figure previously mentioned of </w:t>
      </w:r>
      <w:r w:rsidR="00903810">
        <w:rPr>
          <w:rFonts w:eastAsia="Calibri"/>
        </w:rPr>
        <w:t>£</w:t>
      </w:r>
      <w:r w:rsidR="005D300D">
        <w:rPr>
          <w:rFonts w:eastAsia="Calibri"/>
        </w:rPr>
        <w:t xml:space="preserve">1,744,575.66.  </w:t>
      </w:r>
    </w:p>
    <w:p w:rsidR="006C23B3" w:rsidRDefault="000C1870" w:rsidP="00763FDB">
      <w:pPr>
        <w:pStyle w:val="ParaLevel1"/>
        <w:rPr>
          <w:rFonts w:eastAsia="Calibri"/>
        </w:rPr>
      </w:pPr>
      <w:r w:rsidRPr="00CC4FC8">
        <w:rPr>
          <w:rFonts w:eastAsia="Calibri"/>
        </w:rPr>
        <w:t xml:space="preserve">As regards the liability of </w:t>
      </w:r>
      <w:r w:rsidR="000801FD">
        <w:rPr>
          <w:rFonts w:eastAsia="Calibri"/>
        </w:rPr>
        <w:t>the Appellants</w:t>
      </w:r>
      <w:r w:rsidR="00BF5120">
        <w:rPr>
          <w:rFonts w:eastAsia="Calibri"/>
        </w:rPr>
        <w:t>,</w:t>
      </w:r>
      <w:r w:rsidRPr="00CC4FC8">
        <w:rPr>
          <w:rFonts w:eastAsia="Calibri"/>
        </w:rPr>
        <w:t xml:space="preserve"> </w:t>
      </w:r>
      <w:r w:rsidR="00A22BEB">
        <w:rPr>
          <w:rFonts w:eastAsia="Calibri"/>
        </w:rPr>
        <w:t>the</w:t>
      </w:r>
      <w:r w:rsidR="007D62F8" w:rsidRPr="00CC4FC8">
        <w:rPr>
          <w:rFonts w:eastAsia="Calibri"/>
        </w:rPr>
        <w:t xml:space="preserve"> </w:t>
      </w:r>
      <w:r w:rsidR="00067967">
        <w:rPr>
          <w:rFonts w:eastAsia="Calibri"/>
        </w:rPr>
        <w:t>t</w:t>
      </w:r>
      <w:r w:rsidR="00417AFA" w:rsidRPr="00CC4FC8">
        <w:rPr>
          <w:rFonts w:eastAsia="Calibri"/>
        </w:rPr>
        <w:t>ribunal</w:t>
      </w:r>
      <w:r w:rsidR="00A248FA">
        <w:rPr>
          <w:rFonts w:eastAsia="Calibri"/>
        </w:rPr>
        <w:t>’s reasoning is</w:t>
      </w:r>
      <w:r w:rsidR="00E50268">
        <w:rPr>
          <w:rFonts w:eastAsia="Calibri"/>
        </w:rPr>
        <w:t xml:space="preserve"> obscure.  It acknowledges</w:t>
      </w:r>
      <w:r w:rsidR="00810977">
        <w:rPr>
          <w:rFonts w:eastAsia="Calibri"/>
        </w:rPr>
        <w:t xml:space="preserve"> </w:t>
      </w:r>
      <w:r w:rsidR="000000C1">
        <w:rPr>
          <w:rFonts w:eastAsia="Calibri"/>
        </w:rPr>
        <w:t xml:space="preserve">at para. 8 </w:t>
      </w:r>
      <w:r w:rsidR="0083500F">
        <w:rPr>
          <w:rFonts w:eastAsia="Calibri"/>
        </w:rPr>
        <w:t xml:space="preserve">of its Reasons </w:t>
      </w:r>
      <w:r w:rsidR="00810977">
        <w:rPr>
          <w:rFonts w:eastAsia="Calibri"/>
        </w:rPr>
        <w:t xml:space="preserve">that </w:t>
      </w:r>
      <w:r w:rsidR="00810977" w:rsidRPr="00CC4FC8">
        <w:rPr>
          <w:rFonts w:eastAsia="Calibri"/>
        </w:rPr>
        <w:t>Mr Timis and Mr Sage</w:t>
      </w:r>
      <w:r w:rsidR="000000C1">
        <w:rPr>
          <w:rFonts w:eastAsia="Calibri"/>
        </w:rPr>
        <w:t xml:space="preserve"> could not be liable for unfair dismissal and that “only [IPL] can be responsible for</w:t>
      </w:r>
      <w:r w:rsidR="00F13591">
        <w:rPr>
          <w:rFonts w:eastAsia="Calibri"/>
        </w:rPr>
        <w:t xml:space="preserve"> the losses flowing from the dismissal”</w:t>
      </w:r>
      <w:r w:rsidR="0083500F">
        <w:rPr>
          <w:rFonts w:eastAsia="Calibri"/>
        </w:rPr>
        <w:t>,</w:t>
      </w:r>
      <w:r w:rsidR="00E50268">
        <w:rPr>
          <w:rFonts w:eastAsia="Calibri"/>
        </w:rPr>
        <w:t xml:space="preserve"> but it points</w:t>
      </w:r>
      <w:r w:rsidR="00F13591">
        <w:rPr>
          <w:rFonts w:eastAsia="Calibri"/>
        </w:rPr>
        <w:t xml:space="preserve"> out that </w:t>
      </w:r>
      <w:r w:rsidR="009F4CDD">
        <w:rPr>
          <w:rFonts w:eastAsia="Calibri"/>
        </w:rPr>
        <w:t>they</w:t>
      </w:r>
      <w:r w:rsidR="00F13591">
        <w:rPr>
          <w:rFonts w:eastAsia="Calibri"/>
        </w:rPr>
        <w:t xml:space="preserve"> </w:t>
      </w:r>
      <w:r w:rsidR="00325CC8">
        <w:rPr>
          <w:rFonts w:eastAsia="Calibri"/>
        </w:rPr>
        <w:t xml:space="preserve">were individually liable for the detriments for which it had found them to be responsible and thus </w:t>
      </w:r>
      <w:r w:rsidR="00344288">
        <w:rPr>
          <w:rFonts w:eastAsia="Calibri"/>
        </w:rPr>
        <w:t>“for all the losses flowing from the detriments up to the point of dismissal”.  The latter formula, which is repeated at</w:t>
      </w:r>
      <w:r w:rsidR="007675DE">
        <w:rPr>
          <w:rFonts w:eastAsia="Calibri"/>
        </w:rPr>
        <w:t xml:space="preserve"> para. 12 and incorporated in</w:t>
      </w:r>
      <w:r w:rsidR="00040752">
        <w:rPr>
          <w:rFonts w:eastAsia="Calibri"/>
        </w:rPr>
        <w:t xml:space="preserve"> para. 1 of the formal Judgment, </w:t>
      </w:r>
      <w:r w:rsidR="00836E17">
        <w:rPr>
          <w:rFonts w:eastAsia="Calibri"/>
        </w:rPr>
        <w:t>is ambiguous.  If the phrase “up to the point of dismissal” is read as governing “losses”, rather than “detriments”</w:t>
      </w:r>
      <w:r w:rsidR="00630E3B">
        <w:rPr>
          <w:rFonts w:eastAsia="Calibri"/>
        </w:rPr>
        <w:t xml:space="preserve">, it would </w:t>
      </w:r>
      <w:r w:rsidR="00040752">
        <w:rPr>
          <w:rFonts w:eastAsia="Calibri"/>
        </w:rPr>
        <w:t>mean</w:t>
      </w:r>
      <w:r w:rsidR="004200E3">
        <w:rPr>
          <w:rFonts w:eastAsia="Calibri"/>
        </w:rPr>
        <w:t xml:space="preserve"> that</w:t>
      </w:r>
      <w:r w:rsidR="007675DE">
        <w:rPr>
          <w:rFonts w:eastAsia="Calibri"/>
        </w:rPr>
        <w:t xml:space="preserve"> Mr Tim</w:t>
      </w:r>
      <w:r w:rsidR="00876086">
        <w:rPr>
          <w:rFonts w:eastAsia="Calibri"/>
        </w:rPr>
        <w:t>i</w:t>
      </w:r>
      <w:r w:rsidR="007675DE">
        <w:rPr>
          <w:rFonts w:eastAsia="Calibri"/>
        </w:rPr>
        <w:t xml:space="preserve">s and Mr Sage </w:t>
      </w:r>
      <w:r w:rsidR="004200E3">
        <w:rPr>
          <w:rFonts w:eastAsia="Calibri"/>
        </w:rPr>
        <w:t>were not liable for “e</w:t>
      </w:r>
      <w:r w:rsidR="00AC1B5A">
        <w:rPr>
          <w:rFonts w:eastAsia="Calibri"/>
        </w:rPr>
        <w:t>lemen</w:t>
      </w:r>
      <w:r w:rsidR="004200E3">
        <w:rPr>
          <w:rFonts w:eastAsia="Calibri"/>
        </w:rPr>
        <w:t>t (a)</w:t>
      </w:r>
      <w:r w:rsidR="00AC1B5A">
        <w:rPr>
          <w:rFonts w:eastAsia="Calibri"/>
        </w:rPr>
        <w:t>” in the award (or indeed, in the light of the EAT’s subsequent clarification,</w:t>
      </w:r>
      <w:r w:rsidR="00663062">
        <w:rPr>
          <w:rFonts w:eastAsia="Calibri"/>
        </w:rPr>
        <w:t xml:space="preserve"> for</w:t>
      </w:r>
      <w:r w:rsidR="00AC1B5A">
        <w:rPr>
          <w:rFonts w:eastAsia="Calibri"/>
        </w:rPr>
        <w:t xml:space="preserve"> “element (c)”</w:t>
      </w:r>
      <w:r w:rsidR="001B7291">
        <w:rPr>
          <w:rFonts w:eastAsia="Calibri"/>
        </w:rPr>
        <w:t>)</w:t>
      </w:r>
      <w:r w:rsidR="00AC1B5A">
        <w:rPr>
          <w:rFonts w:eastAsia="Calibri"/>
        </w:rPr>
        <w:t xml:space="preserve"> but only for </w:t>
      </w:r>
      <w:r w:rsidR="001B7291">
        <w:rPr>
          <w:rFonts w:eastAsia="Calibri"/>
        </w:rPr>
        <w:t xml:space="preserve">element (b).  </w:t>
      </w:r>
      <w:r w:rsidR="001145F9">
        <w:rPr>
          <w:rFonts w:eastAsia="Calibri"/>
        </w:rPr>
        <w:t xml:space="preserve">However </w:t>
      </w:r>
      <w:r w:rsidR="00630E3B">
        <w:rPr>
          <w:rFonts w:eastAsia="Calibri"/>
        </w:rPr>
        <w:t xml:space="preserve">it seems </w:t>
      </w:r>
      <w:r w:rsidR="004E7858">
        <w:rPr>
          <w:rFonts w:eastAsia="Calibri"/>
        </w:rPr>
        <w:t>that the phrase was intended</w:t>
      </w:r>
      <w:r w:rsidR="00876086">
        <w:rPr>
          <w:rFonts w:eastAsia="Calibri"/>
        </w:rPr>
        <w:t xml:space="preserve"> </w:t>
      </w:r>
      <w:r w:rsidR="004E7858">
        <w:rPr>
          <w:rFonts w:eastAsia="Calibri"/>
        </w:rPr>
        <w:t>to govern “detriments”</w:t>
      </w:r>
      <w:r w:rsidR="00040752">
        <w:rPr>
          <w:rFonts w:eastAsia="Calibri"/>
        </w:rPr>
        <w:t xml:space="preserve">. </w:t>
      </w:r>
      <w:r w:rsidR="004E7858">
        <w:rPr>
          <w:rFonts w:eastAsia="Calibri"/>
        </w:rPr>
        <w:t xml:space="preserve"> </w:t>
      </w:r>
      <w:r w:rsidR="00CF5676">
        <w:rPr>
          <w:rFonts w:eastAsia="Calibri"/>
        </w:rPr>
        <w:t xml:space="preserve">Mr Carr had </w:t>
      </w:r>
      <w:r w:rsidR="001E217D">
        <w:rPr>
          <w:rFonts w:eastAsia="Calibri"/>
        </w:rPr>
        <w:t>argued</w:t>
      </w:r>
      <w:r w:rsidR="00CF5676">
        <w:rPr>
          <w:rFonts w:eastAsia="Calibri"/>
        </w:rPr>
        <w:t xml:space="preserve"> in his closing s</w:t>
      </w:r>
      <w:r w:rsidR="001E217D">
        <w:rPr>
          <w:rFonts w:eastAsia="Calibri"/>
        </w:rPr>
        <w:t xml:space="preserve">ubmissions at the first hearing, as he does </w:t>
      </w:r>
      <w:r w:rsidR="002858F1">
        <w:rPr>
          <w:rFonts w:eastAsia="Calibri"/>
        </w:rPr>
        <w:t xml:space="preserve">(on one alternative) </w:t>
      </w:r>
      <w:r w:rsidR="001E217D">
        <w:rPr>
          <w:rFonts w:eastAsia="Calibri"/>
        </w:rPr>
        <w:t xml:space="preserve">before us, </w:t>
      </w:r>
      <w:r w:rsidR="00CF5676">
        <w:rPr>
          <w:rFonts w:eastAsia="Calibri"/>
        </w:rPr>
        <w:t xml:space="preserve">that </w:t>
      </w:r>
      <w:r w:rsidR="00A55376">
        <w:rPr>
          <w:rFonts w:eastAsia="Calibri"/>
        </w:rPr>
        <w:t xml:space="preserve">the </w:t>
      </w:r>
      <w:r w:rsidR="00FC02CD">
        <w:rPr>
          <w:rFonts w:eastAsia="Calibri"/>
        </w:rPr>
        <w:t xml:space="preserve">losses occasioned by the dismissal </w:t>
      </w:r>
      <w:r w:rsidR="00A55376">
        <w:rPr>
          <w:rFonts w:eastAsia="Calibri"/>
        </w:rPr>
        <w:t xml:space="preserve">were recoverable against </w:t>
      </w:r>
      <w:r w:rsidR="008E7064">
        <w:rPr>
          <w:rFonts w:eastAsia="Calibri"/>
        </w:rPr>
        <w:t>the Appellants because the</w:t>
      </w:r>
      <w:r w:rsidR="008959CE">
        <w:rPr>
          <w:rFonts w:eastAsia="Calibri"/>
        </w:rPr>
        <w:t xml:space="preserve"> dismissal was itself caused by the earlier unlawful detriments</w:t>
      </w:r>
      <w:r w:rsidR="008E7064">
        <w:rPr>
          <w:rFonts w:eastAsia="Calibri"/>
        </w:rPr>
        <w:t xml:space="preserve">.  </w:t>
      </w:r>
      <w:r w:rsidR="00EC4299">
        <w:rPr>
          <w:rFonts w:eastAsia="Calibri"/>
        </w:rPr>
        <w:t>T</w:t>
      </w:r>
      <w:r w:rsidR="001E217D">
        <w:rPr>
          <w:rFonts w:eastAsia="Calibri"/>
        </w:rPr>
        <w:t xml:space="preserve">he ET </w:t>
      </w:r>
      <w:r w:rsidR="008959CE">
        <w:rPr>
          <w:rFonts w:eastAsia="Calibri"/>
        </w:rPr>
        <w:t xml:space="preserve">refers to that argument, </w:t>
      </w:r>
      <w:r w:rsidR="00EC4299">
        <w:rPr>
          <w:rFonts w:eastAsia="Calibri"/>
        </w:rPr>
        <w:t>and although it now</w:t>
      </w:r>
      <w:r w:rsidR="00441867">
        <w:rPr>
          <w:rFonts w:eastAsia="Calibri"/>
        </w:rPr>
        <w:t xml:space="preserve">here says so in terms it appears to have accepted it.  If it had intended to distinguish between </w:t>
      </w:r>
      <w:r w:rsidR="008959CE">
        <w:rPr>
          <w:rFonts w:eastAsia="Calibri"/>
        </w:rPr>
        <w:t>losses occurring</w:t>
      </w:r>
      <w:r w:rsidR="001E217D">
        <w:rPr>
          <w:rFonts w:eastAsia="Calibri"/>
        </w:rPr>
        <w:t xml:space="preserve"> </w:t>
      </w:r>
      <w:r w:rsidR="00DF137A">
        <w:rPr>
          <w:rFonts w:eastAsia="Calibri"/>
        </w:rPr>
        <w:t xml:space="preserve">before and after the dismissal it would have had to revise its original </w:t>
      </w:r>
      <w:r w:rsidR="00026774">
        <w:rPr>
          <w:rFonts w:eastAsia="Calibri"/>
        </w:rPr>
        <w:t xml:space="preserve">award </w:t>
      </w:r>
      <w:r w:rsidR="006F2D05">
        <w:rPr>
          <w:rFonts w:eastAsia="Calibri"/>
        </w:rPr>
        <w:t xml:space="preserve">of “compensation for unfair dismissal and detriment for making protected disclosures” </w:t>
      </w:r>
      <w:r w:rsidR="00026774">
        <w:rPr>
          <w:rFonts w:eastAsia="Calibri"/>
        </w:rPr>
        <w:t>by making some apportionment,</w:t>
      </w:r>
      <w:r w:rsidR="00113E62">
        <w:rPr>
          <w:rFonts w:eastAsia="Calibri"/>
        </w:rPr>
        <w:t xml:space="preserve"> but it did not do so.</w:t>
      </w:r>
      <w:r w:rsidR="00AC78BA">
        <w:rPr>
          <w:rFonts w:eastAsia="Calibri"/>
        </w:rPr>
        <w:t xml:space="preserve">  Certainly the parties </w:t>
      </w:r>
      <w:r w:rsidR="008E7064">
        <w:rPr>
          <w:rFonts w:eastAsia="Calibri"/>
        </w:rPr>
        <w:t>understood the effect of this</w:t>
      </w:r>
      <w:r w:rsidR="00AC78BA">
        <w:rPr>
          <w:rFonts w:eastAsia="Calibri"/>
        </w:rPr>
        <w:t xml:space="preserve"> further Judgment to </w:t>
      </w:r>
      <w:r w:rsidR="00D7687D">
        <w:rPr>
          <w:rFonts w:eastAsia="Calibri"/>
        </w:rPr>
        <w:t>be that</w:t>
      </w:r>
      <w:r w:rsidR="006F2D05">
        <w:rPr>
          <w:rFonts w:eastAsia="Calibri"/>
        </w:rPr>
        <w:t xml:space="preserve"> </w:t>
      </w:r>
      <w:r w:rsidR="00FC02CD">
        <w:rPr>
          <w:rFonts w:eastAsia="Calibri"/>
        </w:rPr>
        <w:t>Mr Timis and Mr Sa</w:t>
      </w:r>
      <w:r w:rsidR="00D7687D">
        <w:rPr>
          <w:rFonts w:eastAsia="Calibri"/>
        </w:rPr>
        <w:t>ge were liable for the full £1,744,575.66, and</w:t>
      </w:r>
      <w:r w:rsidR="00026774">
        <w:rPr>
          <w:rFonts w:eastAsia="Calibri"/>
        </w:rPr>
        <w:t xml:space="preserve"> they</w:t>
      </w:r>
      <w:r w:rsidR="00D7687D">
        <w:rPr>
          <w:rFonts w:eastAsia="Calibri"/>
        </w:rPr>
        <w:t xml:space="preserve"> appealed to the EAT on that basis. </w:t>
      </w:r>
    </w:p>
    <w:p w:rsidR="00CE3FEE" w:rsidRDefault="006C23B3" w:rsidP="00763FDB">
      <w:pPr>
        <w:pStyle w:val="ParaLevel1"/>
        <w:rPr>
          <w:rFonts w:eastAsia="Calibri"/>
        </w:rPr>
      </w:pPr>
      <w:r>
        <w:rPr>
          <w:rFonts w:eastAsia="Calibri"/>
        </w:rPr>
        <w:t>The upshot of all that is that</w:t>
      </w:r>
      <w:r w:rsidR="00113E62">
        <w:rPr>
          <w:rFonts w:eastAsia="Calibri"/>
        </w:rPr>
        <w:t>,</w:t>
      </w:r>
      <w:r>
        <w:rPr>
          <w:rFonts w:eastAsia="Calibri"/>
        </w:rPr>
        <w:t xml:space="preserve"> </w:t>
      </w:r>
      <w:r w:rsidR="00201808">
        <w:rPr>
          <w:rFonts w:eastAsia="Calibri"/>
        </w:rPr>
        <w:t xml:space="preserve">although </w:t>
      </w:r>
      <w:r w:rsidR="00026774">
        <w:rPr>
          <w:rFonts w:eastAsia="Calibri"/>
        </w:rPr>
        <w:t xml:space="preserve">the Appellants </w:t>
      </w:r>
      <w:r w:rsidR="00201808">
        <w:rPr>
          <w:rFonts w:eastAsia="Calibri"/>
        </w:rPr>
        <w:t xml:space="preserve">were not held liable for the Claimant’s unfair dismissal </w:t>
      </w:r>
      <w:r w:rsidR="00DD7103">
        <w:rPr>
          <w:rFonts w:eastAsia="Calibri"/>
        </w:rPr>
        <w:t>as such</w:t>
      </w:r>
      <w:r w:rsidR="00113E62">
        <w:rPr>
          <w:rFonts w:eastAsia="Calibri"/>
        </w:rPr>
        <w:t>,</w:t>
      </w:r>
      <w:r w:rsidR="00DD7103">
        <w:rPr>
          <w:rFonts w:eastAsia="Calibri"/>
        </w:rPr>
        <w:t xml:space="preserve"> they were </w:t>
      </w:r>
      <w:r w:rsidR="00201808">
        <w:rPr>
          <w:rFonts w:eastAsia="Calibri"/>
        </w:rPr>
        <w:t xml:space="preserve">held liable for the losses </w:t>
      </w:r>
      <w:r w:rsidR="00DD7103">
        <w:rPr>
          <w:rFonts w:eastAsia="Calibri"/>
        </w:rPr>
        <w:t>that he suffered i</w:t>
      </w:r>
      <w:r w:rsidR="00026774">
        <w:rPr>
          <w:rFonts w:eastAsia="Calibri"/>
        </w:rPr>
        <w:t>n consequence of the</w:t>
      </w:r>
      <w:r w:rsidR="00DD7103">
        <w:rPr>
          <w:rFonts w:eastAsia="Calibri"/>
        </w:rPr>
        <w:t xml:space="preserve"> dismissal</w:t>
      </w:r>
      <w:r w:rsidR="00113E62">
        <w:rPr>
          <w:rFonts w:eastAsia="Calibri"/>
        </w:rPr>
        <w:t>,</w:t>
      </w:r>
      <w:r w:rsidR="00026774">
        <w:rPr>
          <w:rFonts w:eastAsia="Calibri"/>
        </w:rPr>
        <w:t xml:space="preserve"> on the basis that those losses</w:t>
      </w:r>
      <w:r w:rsidR="00DD7103">
        <w:rPr>
          <w:rFonts w:eastAsia="Calibri"/>
        </w:rPr>
        <w:t xml:space="preserve"> flowed from the pre-dismissal detriments for which they were liable, and </w:t>
      </w:r>
      <w:r w:rsidR="00D05083">
        <w:rPr>
          <w:rFonts w:eastAsia="Calibri"/>
        </w:rPr>
        <w:t>specifically</w:t>
      </w:r>
      <w:r w:rsidR="00DD7103">
        <w:rPr>
          <w:rFonts w:eastAsia="Calibri"/>
        </w:rPr>
        <w:t xml:space="preserve"> </w:t>
      </w:r>
      <w:r w:rsidR="00E50268">
        <w:rPr>
          <w:rFonts w:eastAsia="Calibri"/>
        </w:rPr>
        <w:t xml:space="preserve">from </w:t>
      </w:r>
      <w:r w:rsidR="00DD7103">
        <w:rPr>
          <w:rFonts w:eastAsia="Calibri"/>
        </w:rPr>
        <w:t xml:space="preserve">detriment </w:t>
      </w:r>
      <w:r w:rsidR="00D05083">
        <w:rPr>
          <w:rFonts w:eastAsia="Calibri"/>
        </w:rPr>
        <w:t xml:space="preserve">(m) – </w:t>
      </w:r>
      <w:r w:rsidR="00113E62">
        <w:rPr>
          <w:rFonts w:eastAsia="Calibri"/>
        </w:rPr>
        <w:t xml:space="preserve">that is, </w:t>
      </w:r>
      <w:r w:rsidR="00D05083">
        <w:rPr>
          <w:rFonts w:eastAsia="Calibri"/>
        </w:rPr>
        <w:t>the instruction or recommendation to dismiss him</w:t>
      </w:r>
      <w:r w:rsidR="00A63449">
        <w:rPr>
          <w:rFonts w:eastAsia="Calibri"/>
        </w:rPr>
        <w:t>, which the tribunal</w:t>
      </w:r>
      <w:r w:rsidR="004F7030">
        <w:rPr>
          <w:rFonts w:eastAsia="Calibri"/>
        </w:rPr>
        <w:t xml:space="preserve"> clearly regarded as distinct from the dismissal itself</w:t>
      </w:r>
      <w:r w:rsidR="00D05083">
        <w:rPr>
          <w:rFonts w:eastAsia="Calibri"/>
        </w:rPr>
        <w:t>.</w:t>
      </w:r>
      <w:r w:rsidR="00D7687D">
        <w:rPr>
          <w:rFonts w:eastAsia="Calibri"/>
        </w:rPr>
        <w:t xml:space="preserve"> </w:t>
      </w:r>
    </w:p>
    <w:p w:rsidR="00E9133A" w:rsidRPr="00CE3FEE" w:rsidRDefault="00CE3FEE" w:rsidP="00763FDB">
      <w:pPr>
        <w:pStyle w:val="ParaLevel1"/>
        <w:numPr>
          <w:ilvl w:val="0"/>
          <w:numId w:val="0"/>
        </w:numPr>
        <w:rPr>
          <w:rFonts w:eastAsia="Calibri"/>
        </w:rPr>
      </w:pPr>
      <w:r>
        <w:rPr>
          <w:rFonts w:eastAsia="Calibri"/>
          <w:u w:val="single"/>
        </w:rPr>
        <w:t>THE EMPLOYMENT APPEAL TRIBUNAL</w:t>
      </w:r>
      <w:r w:rsidR="00D7687D">
        <w:rPr>
          <w:rFonts w:eastAsia="Calibri"/>
        </w:rPr>
        <w:t xml:space="preserve"> </w:t>
      </w:r>
    </w:p>
    <w:p w:rsidR="00FC0511" w:rsidRDefault="00FC0511" w:rsidP="00763FDB">
      <w:pPr>
        <w:pStyle w:val="ParaLevel1"/>
        <w:rPr>
          <w:rFonts w:eastAsia="Calibri"/>
        </w:rPr>
      </w:pPr>
      <w:r>
        <w:rPr>
          <w:rFonts w:eastAsia="Calibri"/>
        </w:rPr>
        <w:t>IPL, Mr Timis and Mr Sage appealed to the EAT against both the ET’s principal decision and the subsequent decision of 5 December 2016.  The Claimant also cross-appealed.  There were challenges to the ET’s conclusions over a wide range of issues going to both liability and quantum, and the hearing, which took place before Simler P in May 2017, lasted three days; in fact a further hearing was necessary in July to address the issues relating to grossing-up.</w:t>
      </w:r>
    </w:p>
    <w:p w:rsidR="00FC0511" w:rsidRDefault="00FC0511" w:rsidP="00763FDB">
      <w:pPr>
        <w:pStyle w:val="ParaLevel1"/>
        <w:rPr>
          <w:rFonts w:eastAsia="Calibri"/>
        </w:rPr>
      </w:pPr>
      <w:r w:rsidRPr="00442133">
        <w:rPr>
          <w:rFonts w:eastAsia="Calibri"/>
        </w:rPr>
        <w:t>Simler P handed down her principal judgment on 19 July 2017.  It run</w:t>
      </w:r>
      <w:r>
        <w:rPr>
          <w:rFonts w:eastAsia="Calibri"/>
        </w:rPr>
        <w:t>s</w:t>
      </w:r>
      <w:r w:rsidRPr="00442133">
        <w:rPr>
          <w:rFonts w:eastAsia="Calibri"/>
        </w:rPr>
        <w:t xml:space="preserve"> to no fewer than 226 paragraphs and deals </w:t>
      </w:r>
      <w:r w:rsidR="00E10D6A">
        <w:rPr>
          <w:rFonts w:eastAsia="Calibri"/>
        </w:rPr>
        <w:t xml:space="preserve">with </w:t>
      </w:r>
      <w:r>
        <w:rPr>
          <w:rFonts w:eastAsia="Calibri"/>
        </w:rPr>
        <w:t xml:space="preserve">the multifarious issues in a masterly fashion.  Her judgment on the grossing-up </w:t>
      </w:r>
      <w:r w:rsidR="00026774">
        <w:rPr>
          <w:rFonts w:eastAsia="Calibri"/>
        </w:rPr>
        <w:t>issue</w:t>
      </w:r>
      <w:r>
        <w:rPr>
          <w:rFonts w:eastAsia="Calibri"/>
        </w:rPr>
        <w:t>s was handed down on 27 July.  Taking the two together</w:t>
      </w:r>
      <w:r w:rsidR="00E10D6A">
        <w:rPr>
          <w:rFonts w:eastAsia="Calibri"/>
        </w:rPr>
        <w:t>,</w:t>
      </w:r>
      <w:r>
        <w:rPr>
          <w:rFonts w:eastAsia="Calibri"/>
        </w:rPr>
        <w:t xml:space="preserve"> her conclusions can be sufficiently summarised for our purposes as follows:</w:t>
      </w:r>
    </w:p>
    <w:p w:rsidR="00FC0511" w:rsidRDefault="00C6567F" w:rsidP="00763FDB">
      <w:pPr>
        <w:pStyle w:val="ParaLevel1"/>
        <w:numPr>
          <w:ilvl w:val="0"/>
          <w:numId w:val="0"/>
        </w:numPr>
        <w:ind w:left="1287" w:hanging="567"/>
        <w:rPr>
          <w:rFonts w:eastAsia="Calibri"/>
        </w:rPr>
      </w:pPr>
      <w:r>
        <w:rPr>
          <w:rFonts w:eastAsia="Calibri"/>
        </w:rPr>
        <w:t>(1)</w:t>
      </w:r>
      <w:r>
        <w:rPr>
          <w:rFonts w:eastAsia="Calibri"/>
        </w:rPr>
        <w:tab/>
        <w:t>She dismissed IPL’s appeal, save in one very minor respect.</w:t>
      </w:r>
    </w:p>
    <w:p w:rsidR="00FC0511" w:rsidRDefault="00FC0511" w:rsidP="00763FDB">
      <w:pPr>
        <w:pStyle w:val="ParaLevel1"/>
        <w:numPr>
          <w:ilvl w:val="0"/>
          <w:numId w:val="0"/>
        </w:numPr>
        <w:ind w:left="1287" w:hanging="567"/>
        <w:rPr>
          <w:rFonts w:eastAsia="Calibri"/>
        </w:rPr>
      </w:pPr>
      <w:r>
        <w:rPr>
          <w:rFonts w:eastAsia="Calibri"/>
        </w:rPr>
        <w:t>(2)</w:t>
      </w:r>
      <w:r>
        <w:rPr>
          <w:rFonts w:eastAsia="Calibri"/>
        </w:rPr>
        <w:tab/>
        <w:t xml:space="preserve">She likewise dismissed the appeals of Mr Timis and Mr Sage on all the issues – including their joint and several liability for “element (a)” in the ET’s award – save only that she held that they could not be liable for the basic award </w:t>
      </w:r>
      <w:r w:rsidR="00026774">
        <w:rPr>
          <w:rFonts w:eastAsia="Calibri"/>
        </w:rPr>
        <w:t xml:space="preserve">under section 119 of the 1996 Act </w:t>
      </w:r>
      <w:r w:rsidR="006A7C27">
        <w:rPr>
          <w:rFonts w:eastAsia="Calibri"/>
        </w:rPr>
        <w:t>(amounting</w:t>
      </w:r>
      <w:r w:rsidR="00CF5EE6">
        <w:rPr>
          <w:rFonts w:eastAsia="Calibri"/>
        </w:rPr>
        <w:t xml:space="preserve"> to £2,088</w:t>
      </w:r>
      <w:r w:rsidR="006A7C27">
        <w:rPr>
          <w:rFonts w:eastAsia="Calibri"/>
        </w:rPr>
        <w:t>) which had been included in that figure</w:t>
      </w:r>
      <w:r w:rsidR="00CF5EE6">
        <w:rPr>
          <w:rFonts w:eastAsia="Calibri"/>
        </w:rPr>
        <w:t xml:space="preserve">: the basic award </w:t>
      </w:r>
      <w:r w:rsidR="00217232">
        <w:rPr>
          <w:rFonts w:eastAsia="Calibri"/>
        </w:rPr>
        <w:t>can only be awarded</w:t>
      </w:r>
      <w:r w:rsidR="007C1B39">
        <w:rPr>
          <w:rFonts w:eastAsia="Calibri"/>
        </w:rPr>
        <w:t xml:space="preserve"> against a party liable for unfair dismissal.</w:t>
      </w:r>
      <w:r w:rsidR="00217232">
        <w:rPr>
          <w:rFonts w:eastAsia="Calibri"/>
        </w:rPr>
        <w:t xml:space="preserve"> </w:t>
      </w:r>
    </w:p>
    <w:p w:rsidR="00FC0511" w:rsidRDefault="00FC0511" w:rsidP="00763FDB">
      <w:pPr>
        <w:pStyle w:val="ParaLevel1"/>
        <w:numPr>
          <w:ilvl w:val="0"/>
          <w:numId w:val="0"/>
        </w:numPr>
        <w:ind w:left="1287" w:hanging="567"/>
        <w:rPr>
          <w:rFonts w:eastAsia="Calibri"/>
        </w:rPr>
      </w:pPr>
      <w:r>
        <w:rPr>
          <w:rFonts w:eastAsia="Calibri"/>
        </w:rPr>
        <w:t>(3)</w:t>
      </w:r>
      <w:r>
        <w:rPr>
          <w:rFonts w:eastAsia="Calibri"/>
        </w:rPr>
        <w:tab/>
        <w:t>She ruled on various issues that both parties had raised about the approach to grossing-up and directed that they seek to agree the correct figure on that basis.  That has now been done</w:t>
      </w:r>
      <w:r w:rsidR="00C4501F">
        <w:rPr>
          <w:rFonts w:eastAsia="Calibri"/>
        </w:rPr>
        <w:t>, and the agreed figure is</w:t>
      </w:r>
      <w:r w:rsidR="009B038F">
        <w:rPr>
          <w:rFonts w:eastAsia="Calibri"/>
        </w:rPr>
        <w:t>, as I have said,</w:t>
      </w:r>
      <w:r w:rsidR="00C4501F">
        <w:rPr>
          <w:rFonts w:eastAsia="Calibri"/>
        </w:rPr>
        <w:t xml:space="preserve"> £2,003,972.35.</w:t>
      </w:r>
      <w:r w:rsidR="00C4501F">
        <w:rPr>
          <w:rStyle w:val="FootnoteReference"/>
          <w:rFonts w:eastAsia="Calibri"/>
        </w:rPr>
        <w:footnoteReference w:id="5"/>
      </w:r>
    </w:p>
    <w:p w:rsidR="0086366D" w:rsidRPr="00194C13" w:rsidRDefault="003426F8" w:rsidP="00763FDB">
      <w:pPr>
        <w:pStyle w:val="ParaLevel1"/>
        <w:numPr>
          <w:ilvl w:val="0"/>
          <w:numId w:val="0"/>
        </w:numPr>
        <w:ind w:left="720"/>
        <w:rPr>
          <w:rFonts w:ascii="Times" w:hAnsi="Times"/>
          <w:sz w:val="20"/>
        </w:rPr>
      </w:pPr>
      <w:r>
        <w:rPr>
          <w:rFonts w:eastAsia="Calibri"/>
        </w:rPr>
        <w:t xml:space="preserve">It is the second of those decisions that we are concerned with on this appeal.  </w:t>
      </w:r>
    </w:p>
    <w:p w:rsidR="00CB06B9" w:rsidRPr="00242F31" w:rsidRDefault="00CB06B9" w:rsidP="00763FDB">
      <w:pPr>
        <w:pStyle w:val="ParaLevel1"/>
        <w:numPr>
          <w:ilvl w:val="0"/>
          <w:numId w:val="0"/>
        </w:numPr>
        <w:rPr>
          <w:rFonts w:eastAsia="Calibri"/>
          <w:b/>
          <w:u w:val="single"/>
        </w:rPr>
      </w:pPr>
      <w:r>
        <w:rPr>
          <w:rFonts w:eastAsia="Calibri"/>
          <w:b/>
          <w:u w:val="single"/>
        </w:rPr>
        <w:t>THE APPEAL</w:t>
      </w:r>
    </w:p>
    <w:p w:rsidR="004422B4" w:rsidRPr="00CB06B9" w:rsidRDefault="00A710BF" w:rsidP="00763FDB">
      <w:pPr>
        <w:pStyle w:val="ParaLevel1"/>
        <w:rPr>
          <w:rFonts w:eastAsia="Calibri"/>
        </w:rPr>
      </w:pPr>
      <w:r w:rsidRPr="00CB06B9">
        <w:rPr>
          <w:rFonts w:eastAsia="Calibri"/>
        </w:rPr>
        <w:t>The A</w:t>
      </w:r>
      <w:r w:rsidR="0035279C" w:rsidRPr="00CB06B9">
        <w:rPr>
          <w:rFonts w:eastAsia="Calibri"/>
        </w:rPr>
        <w:t xml:space="preserve">ppellants appeal against the decision </w:t>
      </w:r>
      <w:r w:rsidRPr="00CB06B9">
        <w:rPr>
          <w:rFonts w:eastAsia="Calibri"/>
        </w:rPr>
        <w:t xml:space="preserve">of the EAT </w:t>
      </w:r>
      <w:r w:rsidR="0035279C" w:rsidRPr="00CB06B9">
        <w:rPr>
          <w:rFonts w:eastAsia="Calibri"/>
        </w:rPr>
        <w:t xml:space="preserve">on </w:t>
      </w:r>
      <w:r w:rsidR="00763AD0" w:rsidRPr="00CB06B9">
        <w:rPr>
          <w:rFonts w:eastAsia="Calibri"/>
        </w:rPr>
        <w:t>what were orig</w:t>
      </w:r>
      <w:r w:rsidRPr="00CB06B9">
        <w:rPr>
          <w:rFonts w:eastAsia="Calibri"/>
        </w:rPr>
        <w:t>inally pleaded as three grounds</w:t>
      </w:r>
      <w:r w:rsidR="00763AD0" w:rsidRPr="00CB06B9">
        <w:rPr>
          <w:rFonts w:eastAsia="Calibri"/>
        </w:rPr>
        <w:t xml:space="preserve"> but </w:t>
      </w:r>
      <w:r w:rsidRPr="00CB06B9">
        <w:rPr>
          <w:rFonts w:eastAsia="Calibri"/>
        </w:rPr>
        <w:t xml:space="preserve">are </w:t>
      </w:r>
      <w:r w:rsidR="00763AD0" w:rsidRPr="00CB06B9">
        <w:rPr>
          <w:rFonts w:eastAsia="Calibri"/>
        </w:rPr>
        <w:t>re-cast in Mr Stilitz’s skeleton argument</w:t>
      </w:r>
      <w:r w:rsidR="00275639">
        <w:rPr>
          <w:rStyle w:val="FootnoteReference"/>
          <w:rFonts w:eastAsia="Calibri"/>
        </w:rPr>
        <w:footnoteReference w:id="6"/>
      </w:r>
      <w:r w:rsidR="00763AD0" w:rsidRPr="00CB06B9">
        <w:rPr>
          <w:rFonts w:eastAsia="Calibri"/>
        </w:rPr>
        <w:t xml:space="preserve"> as </w:t>
      </w:r>
      <w:r w:rsidR="0035279C" w:rsidRPr="00CB06B9">
        <w:rPr>
          <w:rFonts w:eastAsia="Calibri"/>
        </w:rPr>
        <w:t>two</w:t>
      </w:r>
      <w:r w:rsidRPr="00CB06B9">
        <w:rPr>
          <w:rFonts w:eastAsia="Calibri"/>
        </w:rPr>
        <w:t>, as follows</w:t>
      </w:r>
      <w:r w:rsidR="0035279C" w:rsidRPr="00CB06B9">
        <w:rPr>
          <w:rFonts w:eastAsia="Calibri"/>
        </w:rPr>
        <w:t>:</w:t>
      </w:r>
    </w:p>
    <w:p w:rsidR="00275639" w:rsidRDefault="00A710BF" w:rsidP="00763FDB">
      <w:pPr>
        <w:ind w:left="1418" w:right="793"/>
        <w:jc w:val="both"/>
        <w:rPr>
          <w:color w:val="222222"/>
          <w:shd w:val="clear" w:color="auto" w:fill="FFFFFF"/>
        </w:rPr>
      </w:pPr>
      <w:r>
        <w:rPr>
          <w:rFonts w:eastAsia="Calibri"/>
        </w:rPr>
        <w:t xml:space="preserve">“(A)  </w:t>
      </w:r>
      <w:r w:rsidR="00721D3A">
        <w:rPr>
          <w:color w:val="222222"/>
          <w:shd w:val="clear" w:color="auto" w:fill="FFFFFF"/>
        </w:rPr>
        <w:t>By reason of s</w:t>
      </w:r>
      <w:r w:rsidR="008C10CC">
        <w:rPr>
          <w:color w:val="222222"/>
          <w:shd w:val="clear" w:color="auto" w:fill="FFFFFF"/>
        </w:rPr>
        <w:t>ection 47B (2) ER</w:t>
      </w:r>
      <w:r w:rsidR="00721D3A">
        <w:rPr>
          <w:color w:val="222222"/>
          <w:shd w:val="clear" w:color="auto" w:fill="FFFFFF"/>
        </w:rPr>
        <w:t>A 1996, neither Mr Timis n</w:t>
      </w:r>
      <w:r w:rsidR="00F332E0" w:rsidRPr="008C10CC">
        <w:rPr>
          <w:color w:val="222222"/>
          <w:shd w:val="clear" w:color="auto" w:fill="FFFFFF"/>
        </w:rPr>
        <w:t>or</w:t>
      </w:r>
      <w:r w:rsidR="00721D3A">
        <w:rPr>
          <w:color w:val="222222"/>
          <w:shd w:val="clear" w:color="auto" w:fill="FFFFFF"/>
        </w:rPr>
        <w:t xml:space="preserve"> Mr S</w:t>
      </w:r>
      <w:r w:rsidR="00F332E0" w:rsidRPr="008C10CC">
        <w:rPr>
          <w:color w:val="222222"/>
          <w:shd w:val="clear" w:color="auto" w:fill="FFFFFF"/>
        </w:rPr>
        <w:t xml:space="preserve">age could be liable to the claimant in respect of an instruction to </w:t>
      </w:r>
      <w:r w:rsidR="00721D3A">
        <w:rPr>
          <w:color w:val="222222"/>
          <w:shd w:val="clear" w:color="auto" w:fill="FFFFFF"/>
        </w:rPr>
        <w:t>dismiss the claimant</w:t>
      </w:r>
      <w:r w:rsidR="00F332E0" w:rsidRPr="008C10CC">
        <w:rPr>
          <w:color w:val="222222"/>
          <w:shd w:val="clear" w:color="auto" w:fill="FFFFFF"/>
        </w:rPr>
        <w:t>, no</w:t>
      </w:r>
      <w:r w:rsidR="00483D9A">
        <w:rPr>
          <w:color w:val="222222"/>
          <w:shd w:val="clear" w:color="auto" w:fill="FFFFFF"/>
        </w:rPr>
        <w:t>r</w:t>
      </w:r>
      <w:r w:rsidR="00721D3A">
        <w:rPr>
          <w:color w:val="222222"/>
          <w:shd w:val="clear" w:color="auto" w:fill="FFFFFF"/>
        </w:rPr>
        <w:t xml:space="preserve"> under section 47</w:t>
      </w:r>
      <w:r w:rsidR="00F332E0" w:rsidRPr="008C10CC">
        <w:rPr>
          <w:color w:val="222222"/>
          <w:shd w:val="clear" w:color="auto" w:fill="FFFFFF"/>
        </w:rPr>
        <w:t xml:space="preserve">B </w:t>
      </w:r>
      <w:r w:rsidR="00721D3A">
        <w:rPr>
          <w:color w:val="222222"/>
          <w:shd w:val="clear" w:color="auto" w:fill="FFFFFF"/>
        </w:rPr>
        <w:t>(</w:t>
      </w:r>
      <w:r w:rsidR="00F332E0" w:rsidRPr="008C10CC">
        <w:rPr>
          <w:color w:val="222222"/>
          <w:shd w:val="clear" w:color="auto" w:fill="FFFFFF"/>
        </w:rPr>
        <w:t>2</w:t>
      </w:r>
      <w:r w:rsidR="00721D3A">
        <w:rPr>
          <w:color w:val="222222"/>
          <w:shd w:val="clear" w:color="auto" w:fill="FFFFFF"/>
        </w:rPr>
        <w:t>) of ERA</w:t>
      </w:r>
      <w:r w:rsidR="00F332E0" w:rsidRPr="008C10CC">
        <w:rPr>
          <w:color w:val="222222"/>
          <w:shd w:val="clear" w:color="auto" w:fill="FFFFFF"/>
        </w:rPr>
        <w:t>1996 could they be liable for losses which flowed from the claimant</w:t>
      </w:r>
      <w:r w:rsidR="00275639">
        <w:rPr>
          <w:color w:val="222222"/>
          <w:shd w:val="clear" w:color="auto" w:fill="FFFFFF"/>
        </w:rPr>
        <w:t>’s</w:t>
      </w:r>
      <w:r w:rsidR="00F332E0" w:rsidRPr="008C10CC">
        <w:rPr>
          <w:color w:val="222222"/>
          <w:shd w:val="clear" w:color="auto" w:fill="FFFFFF"/>
        </w:rPr>
        <w:t xml:space="preserve"> dismissal</w:t>
      </w:r>
      <w:r w:rsidR="00275639">
        <w:rPr>
          <w:color w:val="222222"/>
          <w:shd w:val="clear" w:color="auto" w:fill="FFFFFF"/>
        </w:rPr>
        <w:t>.</w:t>
      </w:r>
    </w:p>
    <w:p w:rsidR="00275639" w:rsidRDefault="00275639" w:rsidP="00763FDB">
      <w:pPr>
        <w:ind w:left="1418" w:right="793"/>
        <w:jc w:val="both"/>
        <w:rPr>
          <w:color w:val="222222"/>
          <w:shd w:val="clear" w:color="auto" w:fill="FFFFFF"/>
        </w:rPr>
      </w:pPr>
    </w:p>
    <w:p w:rsidR="00FA1B80" w:rsidRPr="00BE5A32" w:rsidRDefault="00275639" w:rsidP="00763FDB">
      <w:pPr>
        <w:ind w:left="1418" w:right="793"/>
        <w:jc w:val="both"/>
        <w:rPr>
          <w:sz w:val="20"/>
          <w:szCs w:val="20"/>
        </w:rPr>
      </w:pPr>
      <w:r>
        <w:rPr>
          <w:color w:val="222222"/>
          <w:shd w:val="clear" w:color="auto" w:fill="FFFFFF"/>
        </w:rPr>
        <w:t>(B)   In any event, Mr S</w:t>
      </w:r>
      <w:r w:rsidR="00F332E0" w:rsidRPr="008C10CC">
        <w:rPr>
          <w:color w:val="222222"/>
          <w:shd w:val="clear" w:color="auto" w:fill="FFFFFF"/>
        </w:rPr>
        <w:t>age could not be liable to the claimant in relation to any instruction to dismiss the claimant because, as the ET fo</w:t>
      </w:r>
      <w:r>
        <w:rPr>
          <w:color w:val="222222"/>
          <w:shd w:val="clear" w:color="auto" w:fill="FFFFFF"/>
        </w:rPr>
        <w:t>und, it was Mr Ti</w:t>
      </w:r>
      <w:r w:rsidR="00F332E0" w:rsidRPr="008C10CC">
        <w:rPr>
          <w:color w:val="222222"/>
          <w:shd w:val="clear" w:color="auto" w:fill="FFFFFF"/>
        </w:rPr>
        <w:t xml:space="preserve">mis who gave the </w:t>
      </w:r>
      <w:r>
        <w:rPr>
          <w:color w:val="222222"/>
          <w:shd w:val="clear" w:color="auto" w:fill="FFFFFF"/>
        </w:rPr>
        <w:t>instruction to dismiss, not Mr S</w:t>
      </w:r>
      <w:r w:rsidR="00F332E0" w:rsidRPr="008C10CC">
        <w:rPr>
          <w:color w:val="222222"/>
          <w:shd w:val="clear" w:color="auto" w:fill="FFFFFF"/>
        </w:rPr>
        <w:t>age</w:t>
      </w:r>
      <w:r>
        <w:rPr>
          <w:color w:val="222222"/>
          <w:shd w:val="clear" w:color="auto" w:fill="FFFFFF"/>
        </w:rPr>
        <w:t>.”</w:t>
      </w:r>
    </w:p>
    <w:p w:rsidR="00D72A06" w:rsidRPr="00D72A06" w:rsidRDefault="00650963" w:rsidP="00763FDB">
      <w:pPr>
        <w:pStyle w:val="ParaLevel1"/>
        <w:numPr>
          <w:ilvl w:val="0"/>
          <w:numId w:val="0"/>
        </w:numPr>
        <w:ind w:left="720"/>
        <w:rPr>
          <w:rFonts w:eastAsia="Calibri"/>
        </w:rPr>
      </w:pPr>
      <w:r>
        <w:rPr>
          <w:rFonts w:eastAsia="Calibri"/>
        </w:rPr>
        <w:t>I take those two grounds in turn.</w:t>
      </w:r>
      <w:r w:rsidR="006A25DC">
        <w:rPr>
          <w:rFonts w:eastAsia="Calibri"/>
        </w:rPr>
        <w:t xml:space="preserve">  </w:t>
      </w:r>
    </w:p>
    <w:p w:rsidR="00650963" w:rsidRPr="00650963" w:rsidRDefault="00650963" w:rsidP="00763FDB">
      <w:pPr>
        <w:pStyle w:val="ParaLevel1"/>
        <w:numPr>
          <w:ilvl w:val="0"/>
          <w:numId w:val="0"/>
        </w:numPr>
        <w:rPr>
          <w:rFonts w:eastAsia="Calibri"/>
          <w:b/>
          <w:u w:val="single"/>
        </w:rPr>
      </w:pPr>
      <w:r w:rsidRPr="00650963">
        <w:rPr>
          <w:rFonts w:eastAsia="Calibri"/>
          <w:b/>
          <w:u w:val="single"/>
        </w:rPr>
        <w:t>(A)</w:t>
      </w:r>
      <w:r w:rsidRPr="00650963">
        <w:rPr>
          <w:rFonts w:eastAsia="Calibri"/>
          <w:b/>
          <w:u w:val="single"/>
        </w:rPr>
        <w:tab/>
        <w:t xml:space="preserve">   THE EFFECT OF SECTION 47B (2) </w:t>
      </w:r>
    </w:p>
    <w:p w:rsidR="00650963" w:rsidRPr="00650963" w:rsidRDefault="00650963" w:rsidP="00763FDB">
      <w:pPr>
        <w:pStyle w:val="ParaLevel1"/>
        <w:numPr>
          <w:ilvl w:val="0"/>
          <w:numId w:val="0"/>
        </w:numPr>
        <w:ind w:left="720" w:hanging="720"/>
        <w:rPr>
          <w:rFonts w:eastAsia="Calibri"/>
          <w:u w:val="single"/>
        </w:rPr>
      </w:pPr>
      <w:r w:rsidRPr="00650963">
        <w:rPr>
          <w:rFonts w:eastAsia="Calibri"/>
          <w:i/>
          <w:u w:val="single"/>
        </w:rPr>
        <w:t xml:space="preserve">CLFIS </w:t>
      </w:r>
      <w:r w:rsidRPr="00650963">
        <w:rPr>
          <w:rFonts w:eastAsia="Calibri"/>
          <w:u w:val="single"/>
        </w:rPr>
        <w:t xml:space="preserve">AND </w:t>
      </w:r>
      <w:r w:rsidRPr="00650963">
        <w:rPr>
          <w:rFonts w:eastAsia="Calibri"/>
          <w:i/>
          <w:u w:val="single"/>
        </w:rPr>
        <w:t>JHUTI</w:t>
      </w:r>
    </w:p>
    <w:p w:rsidR="00D72A06" w:rsidRPr="00D452A1" w:rsidRDefault="00650963" w:rsidP="00763FDB">
      <w:pPr>
        <w:pStyle w:val="ParaLevel1"/>
        <w:rPr>
          <w:rFonts w:eastAsia="Calibri"/>
        </w:rPr>
      </w:pPr>
      <w:r>
        <w:rPr>
          <w:rFonts w:eastAsia="Calibri"/>
        </w:rPr>
        <w:t>I should refer by way of preliminary to two recent cases which foreshadow the issues arising on this part of the</w:t>
      </w:r>
      <w:r w:rsidR="00D452A1">
        <w:rPr>
          <w:rFonts w:eastAsia="Calibri"/>
        </w:rPr>
        <w:t xml:space="preserve"> appeal.</w:t>
      </w:r>
    </w:p>
    <w:p w:rsidR="00CD7164" w:rsidRDefault="00CD7164" w:rsidP="00763FDB">
      <w:pPr>
        <w:pStyle w:val="ParaLevel1"/>
        <w:rPr>
          <w:rFonts w:eastAsia="Calibri"/>
        </w:rPr>
      </w:pPr>
      <w:r w:rsidRPr="00C554D2">
        <w:rPr>
          <w:rFonts w:eastAsia="Calibri"/>
          <w:i/>
        </w:rPr>
        <w:t>CLFIS (UK) Ltd</w:t>
      </w:r>
      <w:r w:rsidR="006A25DC">
        <w:rPr>
          <w:rFonts w:eastAsia="Calibri"/>
          <w:i/>
        </w:rPr>
        <w:t xml:space="preserve"> v Reynolds</w:t>
      </w:r>
      <w:r>
        <w:rPr>
          <w:rFonts w:eastAsia="Calibri"/>
        </w:rPr>
        <w:t xml:space="preserve"> [2015]</w:t>
      </w:r>
      <w:r w:rsidR="008C3BBB">
        <w:rPr>
          <w:rFonts w:eastAsia="Calibri"/>
        </w:rPr>
        <w:t xml:space="preserve"> EWCA Civ 439, [2015] ICR 1010, </w:t>
      </w:r>
      <w:r>
        <w:rPr>
          <w:rFonts w:eastAsia="Calibri"/>
        </w:rPr>
        <w:t>was a</w:t>
      </w:r>
      <w:r w:rsidR="003652B6">
        <w:rPr>
          <w:rFonts w:eastAsia="Calibri"/>
        </w:rPr>
        <w:t>n age</w:t>
      </w:r>
      <w:r>
        <w:rPr>
          <w:rFonts w:eastAsia="Calibri"/>
        </w:rPr>
        <w:t xml:space="preserve"> discrimination case in which the contract </w:t>
      </w:r>
      <w:r w:rsidR="008C3BBB">
        <w:rPr>
          <w:rFonts w:eastAsia="Calibri"/>
        </w:rPr>
        <w:t xml:space="preserve">under which the claimant worked </w:t>
      </w:r>
      <w:r w:rsidR="00CB3CF8">
        <w:rPr>
          <w:rFonts w:eastAsia="Calibri"/>
        </w:rPr>
        <w:t xml:space="preserve">for the employer </w:t>
      </w:r>
      <w:r w:rsidR="00E50268">
        <w:rPr>
          <w:rFonts w:eastAsia="Calibri"/>
        </w:rPr>
        <w:t xml:space="preserve">as a consultant </w:t>
      </w:r>
      <w:r>
        <w:rPr>
          <w:rFonts w:eastAsia="Calibri"/>
        </w:rPr>
        <w:t>had be</w:t>
      </w:r>
      <w:r w:rsidR="002A0665">
        <w:rPr>
          <w:rFonts w:eastAsia="Calibri"/>
        </w:rPr>
        <w:t>e</w:t>
      </w:r>
      <w:r w:rsidR="00E955BF">
        <w:rPr>
          <w:rFonts w:eastAsia="Calibri"/>
        </w:rPr>
        <w:t xml:space="preserve">n terminated.  </w:t>
      </w:r>
      <w:r w:rsidR="003652B6">
        <w:rPr>
          <w:rFonts w:eastAsia="Calibri"/>
        </w:rPr>
        <w:t>The</w:t>
      </w:r>
      <w:r>
        <w:rPr>
          <w:rFonts w:eastAsia="Calibri"/>
        </w:rPr>
        <w:t xml:space="preserve"> decision-maker had not been motivated by </w:t>
      </w:r>
      <w:r w:rsidR="008B30CE">
        <w:rPr>
          <w:rFonts w:eastAsia="Calibri"/>
        </w:rPr>
        <w:t>her</w:t>
      </w:r>
      <w:r w:rsidR="003652B6">
        <w:rPr>
          <w:rFonts w:eastAsia="Calibri"/>
        </w:rPr>
        <w:t xml:space="preserve"> age</w:t>
      </w:r>
      <w:r w:rsidR="00026774">
        <w:rPr>
          <w:rFonts w:eastAsia="Calibri"/>
        </w:rPr>
        <w:t>,</w:t>
      </w:r>
      <w:r w:rsidR="003652B6">
        <w:rPr>
          <w:rFonts w:eastAsia="Calibri"/>
        </w:rPr>
        <w:t xml:space="preserve"> </w:t>
      </w:r>
      <w:r>
        <w:rPr>
          <w:rFonts w:eastAsia="Calibri"/>
        </w:rPr>
        <w:t xml:space="preserve">but </w:t>
      </w:r>
      <w:r w:rsidR="003652B6">
        <w:rPr>
          <w:rFonts w:eastAsia="Calibri"/>
        </w:rPr>
        <w:t xml:space="preserve">he had relied </w:t>
      </w:r>
      <w:r w:rsidR="00F41808">
        <w:rPr>
          <w:rFonts w:eastAsia="Calibri"/>
        </w:rPr>
        <w:t xml:space="preserve">on a report from </w:t>
      </w:r>
      <w:r>
        <w:rPr>
          <w:rFonts w:eastAsia="Calibri"/>
        </w:rPr>
        <w:t xml:space="preserve">another employee </w:t>
      </w:r>
      <w:r w:rsidR="00F41808">
        <w:rPr>
          <w:rFonts w:eastAsia="Calibri"/>
        </w:rPr>
        <w:t>who it was suggested might have been</w:t>
      </w:r>
      <w:r w:rsidR="00CB3CF8">
        <w:rPr>
          <w:rFonts w:eastAsia="Calibri"/>
        </w:rPr>
        <w:t xml:space="preserve"> so motivated</w:t>
      </w:r>
      <w:r w:rsidR="00F41808">
        <w:rPr>
          <w:rFonts w:eastAsia="Calibri"/>
        </w:rPr>
        <w:t>.  I</w:t>
      </w:r>
      <w:r>
        <w:rPr>
          <w:rFonts w:eastAsia="Calibri"/>
        </w:rPr>
        <w:t>t was relevant to consider whether</w:t>
      </w:r>
      <w:r w:rsidR="00BB7C4C">
        <w:rPr>
          <w:rFonts w:eastAsia="Calibri"/>
        </w:rPr>
        <w:t xml:space="preserve">, </w:t>
      </w:r>
      <w:r w:rsidR="00CB3CF8">
        <w:rPr>
          <w:rFonts w:eastAsia="Calibri"/>
        </w:rPr>
        <w:t>even though</w:t>
      </w:r>
      <w:r>
        <w:rPr>
          <w:rFonts w:eastAsia="Calibri"/>
        </w:rPr>
        <w:t xml:space="preserve"> the claimant could </w:t>
      </w:r>
      <w:r w:rsidR="00BB7C4C">
        <w:rPr>
          <w:rFonts w:eastAsia="Calibri"/>
        </w:rPr>
        <w:t>not base any claim on the dismissal decision itself</w:t>
      </w:r>
      <w:r w:rsidR="00B90EFF">
        <w:rPr>
          <w:rFonts w:eastAsia="Calibri"/>
        </w:rPr>
        <w:t>,</w:t>
      </w:r>
      <w:r w:rsidR="00BB7C4C">
        <w:rPr>
          <w:rFonts w:eastAsia="Calibri"/>
        </w:rPr>
        <w:t xml:space="preserve"> she could </w:t>
      </w:r>
      <w:r w:rsidR="00B90EFF">
        <w:rPr>
          <w:rFonts w:eastAsia="Calibri"/>
        </w:rPr>
        <w:t xml:space="preserve">rely on the prior act of the </w:t>
      </w:r>
      <w:r w:rsidR="00E50268">
        <w:rPr>
          <w:rFonts w:eastAsia="Calibri"/>
        </w:rPr>
        <w:t>author of the report</w:t>
      </w:r>
      <w:r w:rsidR="00B90EFF">
        <w:rPr>
          <w:rFonts w:eastAsia="Calibri"/>
        </w:rPr>
        <w:t xml:space="preserve"> as a detriment which had caused her dismissal </w:t>
      </w:r>
      <w:r w:rsidR="008B30CE">
        <w:rPr>
          <w:rFonts w:eastAsia="Calibri"/>
        </w:rPr>
        <w:t>and on that basis</w:t>
      </w:r>
      <w:r>
        <w:rPr>
          <w:rFonts w:eastAsia="Calibri"/>
        </w:rPr>
        <w:t xml:space="preserve"> recover </w:t>
      </w:r>
      <w:r w:rsidR="00CB3CF8">
        <w:rPr>
          <w:rFonts w:eastAsia="Calibri"/>
        </w:rPr>
        <w:t xml:space="preserve">against the employer </w:t>
      </w:r>
      <w:r>
        <w:rPr>
          <w:rFonts w:eastAsia="Calibri"/>
        </w:rPr>
        <w:t xml:space="preserve">for the losses </w:t>
      </w:r>
      <w:r w:rsidR="0017112B">
        <w:rPr>
          <w:rFonts w:eastAsia="Calibri"/>
        </w:rPr>
        <w:t>consequent on that dismissal</w:t>
      </w:r>
      <w:r w:rsidR="00970ECD">
        <w:rPr>
          <w:rFonts w:eastAsia="Calibri"/>
        </w:rPr>
        <w:t>.  It was held that she could</w:t>
      </w:r>
      <w:r w:rsidR="00800876">
        <w:rPr>
          <w:rFonts w:eastAsia="Calibri"/>
        </w:rPr>
        <w:t xml:space="preserve">.  I delivered the only judgment, with which Longmore and Jackson LJJ agreed.  </w:t>
      </w:r>
      <w:r w:rsidR="00C31FA7">
        <w:rPr>
          <w:rFonts w:eastAsia="Calibri"/>
        </w:rPr>
        <w:t xml:space="preserve">Addressing the question schematically, with “C” as a dismissed employee and “Y” as the person whose </w:t>
      </w:r>
      <w:r w:rsidR="00E50268">
        <w:rPr>
          <w:rFonts w:eastAsia="Calibri"/>
        </w:rPr>
        <w:t xml:space="preserve">discriminatory </w:t>
      </w:r>
      <w:r w:rsidR="00C31FA7">
        <w:rPr>
          <w:rFonts w:eastAsia="Calibri"/>
        </w:rPr>
        <w:t xml:space="preserve">report had </w:t>
      </w:r>
      <w:r w:rsidR="00613685">
        <w:rPr>
          <w:rFonts w:eastAsia="Calibri"/>
        </w:rPr>
        <w:t xml:space="preserve">led to her dismissal, </w:t>
      </w:r>
      <w:r w:rsidR="00800876">
        <w:rPr>
          <w:rFonts w:eastAsia="Calibri"/>
        </w:rPr>
        <w:t xml:space="preserve">I said, </w:t>
      </w:r>
      <w:r w:rsidR="00B20751">
        <w:rPr>
          <w:rFonts w:eastAsia="Calibri"/>
        </w:rPr>
        <w:t xml:space="preserve">at </w:t>
      </w:r>
      <w:r>
        <w:rPr>
          <w:rFonts w:eastAsia="Calibri"/>
        </w:rPr>
        <w:t xml:space="preserve">para. 39 (5) </w:t>
      </w:r>
      <w:r w:rsidR="00800876">
        <w:rPr>
          <w:rFonts w:eastAsia="Calibri"/>
        </w:rPr>
        <w:t>(p. 1926 G-H</w:t>
      </w:r>
      <w:r w:rsidR="00613685">
        <w:rPr>
          <w:rFonts w:eastAsia="Calibri"/>
        </w:rPr>
        <w:t>)</w:t>
      </w:r>
      <w:r w:rsidR="00800876">
        <w:rPr>
          <w:rFonts w:eastAsia="Calibri"/>
        </w:rPr>
        <w:t>:</w:t>
      </w:r>
    </w:p>
    <w:p w:rsidR="00800876" w:rsidRPr="00713E23" w:rsidRDefault="00B20751" w:rsidP="00763FDB">
      <w:pPr>
        <w:pStyle w:val="ParaLevel1"/>
        <w:numPr>
          <w:ilvl w:val="0"/>
          <w:numId w:val="0"/>
        </w:numPr>
        <w:ind w:left="1418" w:right="793"/>
        <w:rPr>
          <w:sz w:val="20"/>
        </w:rPr>
      </w:pPr>
      <w:r>
        <w:t>“</w:t>
      </w:r>
      <w:r w:rsidRPr="00B20751">
        <w:t>The losses caused to C by her dismissal could be claimed for as part of the compensation for Y's discriminatory act, since they would have been caused or contributed to by that act and would not (at least normally) be too remote.</w:t>
      </w:r>
      <w:r w:rsidR="00613685">
        <w:t>”</w:t>
      </w:r>
    </w:p>
    <w:p w:rsidR="00D503DD" w:rsidRDefault="009744FA" w:rsidP="00763FDB">
      <w:pPr>
        <w:pStyle w:val="ParaLevel1"/>
      </w:pPr>
      <w:r>
        <w:rPr>
          <w:rFonts w:eastAsia="Calibri"/>
        </w:rPr>
        <w:t xml:space="preserve">In so far as </w:t>
      </w:r>
      <w:r w:rsidR="00713E23">
        <w:rPr>
          <w:rFonts w:eastAsia="Calibri"/>
          <w:i/>
        </w:rPr>
        <w:t xml:space="preserve">CLFIS </w:t>
      </w:r>
      <w:r>
        <w:rPr>
          <w:rFonts w:eastAsia="Calibri"/>
        </w:rPr>
        <w:t>is significant in the present case</w:t>
      </w:r>
      <w:r w:rsidR="006224DC">
        <w:rPr>
          <w:rFonts w:eastAsia="Calibri"/>
        </w:rPr>
        <w:t>,</w:t>
      </w:r>
      <w:r>
        <w:rPr>
          <w:rFonts w:eastAsia="Calibri"/>
        </w:rPr>
        <w:t xml:space="preserve"> it is because it confirms that in principle</w:t>
      </w:r>
      <w:r w:rsidR="001B4C93">
        <w:rPr>
          <w:rFonts w:eastAsia="Calibri"/>
        </w:rPr>
        <w:t>, where a prior detriment has c</w:t>
      </w:r>
      <w:r w:rsidR="00A53F56">
        <w:rPr>
          <w:rFonts w:eastAsia="Calibri"/>
        </w:rPr>
        <w:t>aused a worker to be dismissed, he or she can recover</w:t>
      </w:r>
      <w:r w:rsidR="0043270B">
        <w:rPr>
          <w:rFonts w:eastAsia="Calibri"/>
        </w:rPr>
        <w:t xml:space="preserve"> </w:t>
      </w:r>
      <w:r w:rsidR="00A53F56">
        <w:rPr>
          <w:rFonts w:eastAsia="Calibri"/>
        </w:rPr>
        <w:t xml:space="preserve">in respect of losses caused by the dismissal as </w:t>
      </w:r>
      <w:r w:rsidR="009B285A">
        <w:rPr>
          <w:rFonts w:eastAsia="Calibri"/>
        </w:rPr>
        <w:t>compensation for the consequences of the original detriment</w:t>
      </w:r>
      <w:r w:rsidR="00E50268">
        <w:rPr>
          <w:rFonts w:eastAsia="Calibri"/>
        </w:rPr>
        <w:t>,</w:t>
      </w:r>
      <w:r w:rsidR="00026774" w:rsidRPr="00026774">
        <w:rPr>
          <w:rFonts w:eastAsia="Calibri"/>
        </w:rPr>
        <w:t xml:space="preserve"> </w:t>
      </w:r>
      <w:r w:rsidR="00026774">
        <w:rPr>
          <w:rFonts w:eastAsia="Calibri"/>
        </w:rPr>
        <w:t>subject to any issue about remoteness</w:t>
      </w:r>
      <w:r w:rsidR="009B285A">
        <w:rPr>
          <w:rFonts w:eastAsia="Calibri"/>
        </w:rPr>
        <w:t>.  I</w:t>
      </w:r>
      <w:r w:rsidR="00EB62CC">
        <w:rPr>
          <w:rFonts w:eastAsia="Calibri"/>
        </w:rPr>
        <w:t xml:space="preserve">n my judgment in </w:t>
      </w:r>
      <w:r w:rsidR="00EB62CC" w:rsidRPr="007E4A38">
        <w:rPr>
          <w:rFonts w:eastAsia="Calibri"/>
          <w:i/>
        </w:rPr>
        <w:t>Jhuti</w:t>
      </w:r>
      <w:r w:rsidR="00EB62CC">
        <w:rPr>
          <w:rFonts w:eastAsia="Calibri"/>
        </w:rPr>
        <w:t xml:space="preserve"> (see below) I referred to such losses, </w:t>
      </w:r>
      <w:r w:rsidR="00EB62CC">
        <w:t>rather clunkily, as “</w:t>
      </w:r>
      <w:r w:rsidR="00EB62CC" w:rsidRPr="00B847AF">
        <w:t>compensation for dismissal conseque</w:t>
      </w:r>
      <w:r w:rsidR="00EB62CC">
        <w:t>nt on detriment”</w:t>
      </w:r>
      <w:r w:rsidR="00D503DD">
        <w:t>.</w:t>
      </w:r>
    </w:p>
    <w:p w:rsidR="00766CA2" w:rsidRPr="00EB62CC" w:rsidRDefault="00D503DD" w:rsidP="00763FDB">
      <w:pPr>
        <w:pStyle w:val="ParaLevel1"/>
      </w:pPr>
      <w:r>
        <w:t xml:space="preserve">However, </w:t>
      </w:r>
      <w:r w:rsidRPr="00D503DD">
        <w:rPr>
          <w:rFonts w:eastAsia="Calibri"/>
          <w:i/>
        </w:rPr>
        <w:t>CLFIS</w:t>
      </w:r>
      <w:r>
        <w:rPr>
          <w:rFonts w:eastAsia="Calibri"/>
        </w:rPr>
        <w:t xml:space="preserve"> </w:t>
      </w:r>
      <w:r w:rsidR="00713E23" w:rsidRPr="00EB62CC">
        <w:rPr>
          <w:rFonts w:eastAsia="Calibri"/>
        </w:rPr>
        <w:t xml:space="preserve">was a </w:t>
      </w:r>
      <w:r w:rsidR="005019A8" w:rsidRPr="00EB62CC">
        <w:rPr>
          <w:rFonts w:eastAsia="Calibri"/>
        </w:rPr>
        <w:t xml:space="preserve">discrimination </w:t>
      </w:r>
      <w:r w:rsidR="00713E23" w:rsidRPr="00EB62CC">
        <w:rPr>
          <w:rFonts w:eastAsia="Calibri"/>
        </w:rPr>
        <w:t>case</w:t>
      </w:r>
      <w:r w:rsidR="00264F71" w:rsidRPr="00EB62CC">
        <w:rPr>
          <w:rFonts w:eastAsia="Calibri"/>
        </w:rPr>
        <w:t>,</w:t>
      </w:r>
      <w:r w:rsidR="00713E23" w:rsidRPr="00EB62CC">
        <w:rPr>
          <w:rFonts w:eastAsia="Calibri"/>
        </w:rPr>
        <w:t xml:space="preserve"> and</w:t>
      </w:r>
      <w:r w:rsidR="00E50268">
        <w:rPr>
          <w:rFonts w:eastAsia="Calibri"/>
        </w:rPr>
        <w:t xml:space="preserve">, as I said in </w:t>
      </w:r>
      <w:r w:rsidR="00E50268" w:rsidRPr="00E50268">
        <w:rPr>
          <w:rFonts w:eastAsia="Calibri"/>
          <w:i/>
        </w:rPr>
        <w:t>Jhuti</w:t>
      </w:r>
      <w:r w:rsidR="00E45B22" w:rsidRPr="00EB62CC">
        <w:rPr>
          <w:rFonts w:eastAsia="Calibri"/>
        </w:rPr>
        <w:t xml:space="preserve"> </w:t>
      </w:r>
      <w:r w:rsidR="00E50268">
        <w:rPr>
          <w:rFonts w:eastAsia="Calibri"/>
        </w:rPr>
        <w:t>(see para. 33</w:t>
      </w:r>
      <w:r w:rsidR="00E45B22" w:rsidRPr="00EB62CC">
        <w:rPr>
          <w:rFonts w:eastAsia="Calibri"/>
        </w:rPr>
        <w:t xml:space="preserve"> above</w:t>
      </w:r>
      <w:r w:rsidR="00E50268">
        <w:rPr>
          <w:rFonts w:eastAsia="Calibri"/>
        </w:rPr>
        <w:t>)</w:t>
      </w:r>
      <w:r w:rsidR="00E45B22" w:rsidRPr="00EB62CC">
        <w:rPr>
          <w:rFonts w:eastAsia="Calibri"/>
        </w:rPr>
        <w:t>,</w:t>
      </w:r>
      <w:r w:rsidR="00713E23" w:rsidRPr="00EB62CC">
        <w:rPr>
          <w:rFonts w:eastAsia="Calibri"/>
        </w:rPr>
        <w:t xml:space="preserve"> its reasoning cannot be automatically </w:t>
      </w:r>
      <w:r w:rsidR="005019A8" w:rsidRPr="00EB62CC">
        <w:rPr>
          <w:rFonts w:eastAsia="Calibri"/>
        </w:rPr>
        <w:t>appli</w:t>
      </w:r>
      <w:r w:rsidR="00264F71" w:rsidRPr="00EB62CC">
        <w:rPr>
          <w:rFonts w:eastAsia="Calibri"/>
        </w:rPr>
        <w:t>ed in the whistleblower context</w:t>
      </w:r>
      <w:r w:rsidR="00E45B22" w:rsidRPr="00EB62CC">
        <w:rPr>
          <w:rFonts w:eastAsia="Calibri"/>
        </w:rPr>
        <w:t xml:space="preserve">.  As </w:t>
      </w:r>
      <w:r w:rsidR="001C3DB5" w:rsidRPr="00EB62CC">
        <w:rPr>
          <w:rFonts w:eastAsia="Calibri"/>
        </w:rPr>
        <w:t xml:space="preserve">also </w:t>
      </w:r>
      <w:r w:rsidR="00E45B22" w:rsidRPr="00EB62CC">
        <w:rPr>
          <w:rFonts w:eastAsia="Calibri"/>
        </w:rPr>
        <w:t>there noted, o</w:t>
      </w:r>
      <w:r w:rsidR="00264F71" w:rsidRPr="00EB62CC">
        <w:rPr>
          <w:rFonts w:eastAsia="Calibri"/>
        </w:rPr>
        <w:t xml:space="preserve">ne fundamental difference between the </w:t>
      </w:r>
      <w:r w:rsidR="00927947" w:rsidRPr="00EB62CC">
        <w:rPr>
          <w:rFonts w:eastAsia="Calibri"/>
        </w:rPr>
        <w:t>whistleblower legislation and (what is now) the 2010 Act is that the latt</w:t>
      </w:r>
      <w:r w:rsidR="00EF2CEE" w:rsidRPr="00EB62CC">
        <w:rPr>
          <w:rFonts w:eastAsia="Calibri"/>
        </w:rPr>
        <w:t>er does not distinguish conceptually between dismissal and other forms of detriment</w:t>
      </w:r>
      <w:r w:rsidR="007E4A38">
        <w:rPr>
          <w:rFonts w:eastAsia="Calibri"/>
        </w:rPr>
        <w:t>,</w:t>
      </w:r>
      <w:r w:rsidR="00EF2CEE" w:rsidRPr="00EB62CC">
        <w:rPr>
          <w:rFonts w:eastAsia="Calibri"/>
        </w:rPr>
        <w:t xml:space="preserve"> and there is accordingly no provision equivalent to section 47B (2).  </w:t>
      </w:r>
      <w:r w:rsidR="00E14F60" w:rsidRPr="00EB62CC">
        <w:rPr>
          <w:rFonts w:eastAsia="Calibri"/>
        </w:rPr>
        <w:t xml:space="preserve">The relevance of that difference was considered, but not in the end finally decided, in </w:t>
      </w:r>
      <w:r w:rsidR="00A930B6" w:rsidRPr="00EB62CC">
        <w:rPr>
          <w:i/>
        </w:rPr>
        <w:t>Jhuti</w:t>
      </w:r>
      <w:r w:rsidR="00EA6304">
        <w:t xml:space="preserve">, with </w:t>
      </w:r>
      <w:r w:rsidR="00026774">
        <w:t>which I must now deal in more detail</w:t>
      </w:r>
      <w:r w:rsidR="00FE432C">
        <w:t xml:space="preserve">.  </w:t>
      </w:r>
    </w:p>
    <w:p w:rsidR="00825A73" w:rsidRPr="00825A73" w:rsidRDefault="00FE432C" w:rsidP="00763FDB">
      <w:pPr>
        <w:pStyle w:val="ParaLevel1"/>
        <w:rPr>
          <w:rFonts w:eastAsia="Calibri"/>
        </w:rPr>
      </w:pPr>
      <w:r>
        <w:t xml:space="preserve">In </w:t>
      </w:r>
      <w:r w:rsidR="00766CA2" w:rsidRPr="00766CA2">
        <w:rPr>
          <w:i/>
        </w:rPr>
        <w:t>Jhuti</w:t>
      </w:r>
      <w:r>
        <w:t xml:space="preserve"> the </w:t>
      </w:r>
      <w:r w:rsidR="00624FE2">
        <w:t xml:space="preserve">claimant employee was dismissed </w:t>
      </w:r>
      <w:r w:rsidR="006D45D2">
        <w:t xml:space="preserve">as a result of </w:t>
      </w:r>
      <w:r w:rsidR="00086641">
        <w:t xml:space="preserve">unfairly </w:t>
      </w:r>
      <w:r w:rsidR="002F3327">
        <w:t xml:space="preserve">adverse </w:t>
      </w:r>
      <w:r w:rsidR="006D45D2">
        <w:t xml:space="preserve">reports from her </w:t>
      </w:r>
      <w:r w:rsidR="002F3327">
        <w:t>l</w:t>
      </w:r>
      <w:r w:rsidR="006D45D2">
        <w:t>ine manager</w:t>
      </w:r>
      <w:r w:rsidR="002F3327">
        <w:t xml:space="preserve">, </w:t>
      </w:r>
      <w:r w:rsidR="00086641">
        <w:t>who resented her having</w:t>
      </w:r>
      <w:r w:rsidR="002F3327">
        <w:t xml:space="preserve"> made a protected disclosure.  The ET </w:t>
      </w:r>
      <w:r w:rsidR="00EC0C68">
        <w:t xml:space="preserve">rejected her claim of unfair dismissal under section 103A because the manager </w:t>
      </w:r>
      <w:r w:rsidR="00086641">
        <w:t>who took</w:t>
      </w:r>
      <w:r w:rsidR="00EC0C68">
        <w:t xml:space="preserve"> the decision was unaware of the line manager’s mo</w:t>
      </w:r>
      <w:r w:rsidR="00086641">
        <w:t>t</w:t>
      </w:r>
      <w:r w:rsidR="000025A0">
        <w:t>ivation</w:t>
      </w:r>
      <w:r w:rsidR="00F154FC">
        <w:t xml:space="preserve"> and it could not therefore be regarded as the reason for the dismissal; </w:t>
      </w:r>
      <w:r w:rsidR="000025A0">
        <w:t>but it held</w:t>
      </w:r>
      <w:r w:rsidR="00C16A63">
        <w:t xml:space="preserve">, purportedly applying </w:t>
      </w:r>
      <w:r w:rsidR="00A32107">
        <w:rPr>
          <w:i/>
        </w:rPr>
        <w:t>CLFIS</w:t>
      </w:r>
      <w:r w:rsidR="00C16A63">
        <w:t>,</w:t>
      </w:r>
      <w:r w:rsidR="000025A0">
        <w:t xml:space="preserve"> that she could </w:t>
      </w:r>
      <w:r w:rsidR="005133D7">
        <w:t xml:space="preserve">nevertheless </w:t>
      </w:r>
      <w:r w:rsidR="00127AAD">
        <w:t xml:space="preserve">in principle </w:t>
      </w:r>
      <w:r w:rsidR="000025A0">
        <w:t>recover compensation for the losses caused by her dismissal</w:t>
      </w:r>
      <w:r w:rsidR="005133D7">
        <w:t xml:space="preserve"> because they were consequences of </w:t>
      </w:r>
      <w:r w:rsidR="006F7099">
        <w:t>the line manager’s adverse report, which constituted an unlawful detriment under section 47B (1A)</w:t>
      </w:r>
      <w:r w:rsidR="00EA7845">
        <w:t xml:space="preserve"> for which the employer was liable under section 47B (1B)</w:t>
      </w:r>
      <w:r w:rsidR="006F7099">
        <w:t xml:space="preserve">.  </w:t>
      </w:r>
    </w:p>
    <w:p w:rsidR="0079057F" w:rsidRPr="003653E6" w:rsidRDefault="00194C0F" w:rsidP="00763FDB">
      <w:pPr>
        <w:pStyle w:val="ParaLevel1"/>
        <w:rPr>
          <w:rFonts w:eastAsia="Calibri"/>
        </w:rPr>
      </w:pPr>
      <w:r>
        <w:t xml:space="preserve">Mitting J </w:t>
      </w:r>
      <w:r w:rsidR="007E7CBE">
        <w:t>in the EAT</w:t>
      </w:r>
      <w:r>
        <w:t xml:space="preserve"> </w:t>
      </w:r>
      <w:r w:rsidR="00EA7845">
        <w:t>allowed a</w:t>
      </w:r>
      <w:r w:rsidR="00127AAD">
        <w:t xml:space="preserve">n appeal against the </w:t>
      </w:r>
      <w:r>
        <w:t>rejection of the unfair dismissal claim</w:t>
      </w:r>
      <w:r w:rsidR="00C03BDC">
        <w:t xml:space="preserve"> under section 103A</w:t>
      </w:r>
      <w:r w:rsidR="0079057F">
        <w:t xml:space="preserve"> (see </w:t>
      </w:r>
      <w:r w:rsidR="006F6119">
        <w:t>[2016] UKEAT 0020/16</w:t>
      </w:r>
      <w:r w:rsidR="006F6119" w:rsidRPr="006F6119">
        <w:t>, [2016] ICR 1043</w:t>
      </w:r>
      <w:r w:rsidR="0079057F">
        <w:t>)</w:t>
      </w:r>
      <w:r w:rsidR="00C03BDC">
        <w:t xml:space="preserve">, and it was accordingly </w:t>
      </w:r>
      <w:r>
        <w:t xml:space="preserve">unnecessary for him to </w:t>
      </w:r>
      <w:r w:rsidR="00C03BDC">
        <w:t xml:space="preserve">decide whether the alternative </w:t>
      </w:r>
      <w:r w:rsidR="00127AAD">
        <w:t xml:space="preserve">route under </w:t>
      </w:r>
      <w:r w:rsidR="00C03BDC">
        <w:t xml:space="preserve">section 47B </w:t>
      </w:r>
      <w:r w:rsidR="00A32107">
        <w:t>was</w:t>
      </w:r>
      <w:r w:rsidR="00C01E17">
        <w:t xml:space="preserve"> available.  But he expressed the view obiter </w:t>
      </w:r>
      <w:r w:rsidR="0079057F">
        <w:t>that it was not.  At para</w:t>
      </w:r>
      <w:r w:rsidR="0018687D">
        <w:t>s</w:t>
      </w:r>
      <w:r w:rsidR="0079057F">
        <w:t>. 28</w:t>
      </w:r>
      <w:r w:rsidR="0018687D">
        <w:t>-29</w:t>
      </w:r>
      <w:r w:rsidR="0079057F">
        <w:t xml:space="preserve"> of his judgment </w:t>
      </w:r>
      <w:r w:rsidR="009E172D">
        <w:t xml:space="preserve">(p. 1051 B-E) </w:t>
      </w:r>
      <w:r w:rsidR="0079057F">
        <w:t>he said:</w:t>
      </w:r>
    </w:p>
    <w:p w:rsidR="0018687D" w:rsidRPr="00CC3D6F" w:rsidRDefault="00800F71" w:rsidP="00763FDB">
      <w:pPr>
        <w:pStyle w:val="ParaLevel1"/>
        <w:numPr>
          <w:ilvl w:val="0"/>
          <w:numId w:val="0"/>
        </w:numPr>
        <w:ind w:left="1418" w:right="793"/>
        <w:rPr>
          <w:szCs w:val="24"/>
        </w:rPr>
      </w:pPr>
      <w:r w:rsidRPr="00CC3D6F">
        <w:rPr>
          <w:szCs w:val="24"/>
        </w:rPr>
        <w:t xml:space="preserve">“28. … </w:t>
      </w:r>
      <w:r w:rsidR="0018687D" w:rsidRPr="00CC3D6F">
        <w:rPr>
          <w:szCs w:val="24"/>
        </w:rPr>
        <w:t>The Employment Tribunal appears to have believed that, notwithstanding the terms of section 47B(2), it could treat the earlier acts of victimisation as giving rise to a claim for compensation for lo</w:t>
      </w:r>
      <w:r w:rsidR="004F16A5">
        <w:rPr>
          <w:szCs w:val="24"/>
        </w:rPr>
        <w:t>s</w:t>
      </w:r>
      <w:r w:rsidR="0018687D" w:rsidRPr="00CC3D6F">
        <w:rPr>
          <w:szCs w:val="24"/>
        </w:rPr>
        <w:t>ses flow</w:t>
      </w:r>
      <w:r w:rsidR="004F16A5">
        <w:rPr>
          <w:szCs w:val="24"/>
        </w:rPr>
        <w:t>ing</w:t>
      </w:r>
      <w:r w:rsidR="0018687D" w:rsidRPr="00CC3D6F">
        <w:rPr>
          <w:szCs w:val="24"/>
        </w:rPr>
        <w:t xml:space="preserve"> from dismissal subject only to proof of causation.  </w:t>
      </w:r>
      <w:r w:rsidRPr="00CC3D6F">
        <w:rPr>
          <w:szCs w:val="24"/>
        </w:rPr>
        <w:t>..</w:t>
      </w:r>
      <w:r w:rsidR="0018687D" w:rsidRPr="00CC3D6F">
        <w:rPr>
          <w:szCs w:val="24"/>
        </w:rPr>
        <w:t xml:space="preserve">.  Although I have not heard argument on this issue I believe that the Employment Tribunal’s approach to this question of compensation to be erroneous.  Section 47B(2) expressly excludes the detriment of dismissal and so of necessity to the financial and other consequences </w:t>
      </w:r>
      <w:r w:rsidR="0035049B">
        <w:rPr>
          <w:szCs w:val="24"/>
        </w:rPr>
        <w:t>of dismissal from consideration</w:t>
      </w:r>
      <w:r w:rsidR="00F37065">
        <w:rPr>
          <w:szCs w:val="24"/>
        </w:rPr>
        <w:t xml:space="preserve"> </w:t>
      </w:r>
      <w:r w:rsidR="0018687D" w:rsidRPr="00CC3D6F">
        <w:rPr>
          <w:szCs w:val="24"/>
        </w:rPr>
        <w:t>whatever the causative link.</w:t>
      </w:r>
    </w:p>
    <w:p w:rsidR="0018687D" w:rsidRPr="00CC3D6F" w:rsidRDefault="0048782D" w:rsidP="00763FDB">
      <w:pPr>
        <w:pStyle w:val="ParaLevel1"/>
        <w:numPr>
          <w:ilvl w:val="0"/>
          <w:numId w:val="0"/>
        </w:numPr>
        <w:ind w:left="1418" w:right="793"/>
        <w:rPr>
          <w:i/>
        </w:rPr>
      </w:pPr>
      <w:r>
        <w:rPr>
          <w:szCs w:val="24"/>
        </w:rPr>
        <w:t xml:space="preserve">29.  </w:t>
      </w:r>
      <w:r w:rsidR="0018687D" w:rsidRPr="00CC3D6F">
        <w:rPr>
          <w:szCs w:val="24"/>
        </w:rPr>
        <w:t>The Tribunal’s conclusion was based, I believe, on a misunderstanding or misapplication of paragraphs 39 and 43 of the judgment of Underhill LJ in </w:t>
      </w:r>
      <w:r w:rsidR="0018687D" w:rsidRPr="00CC3D6F">
        <w:rPr>
          <w:bCs/>
          <w:i/>
          <w:szCs w:val="24"/>
        </w:rPr>
        <w:t>Reynolds v CLFIS (UK) Ltd</w:t>
      </w:r>
      <w:r w:rsidR="0018687D" w:rsidRPr="00CC3D6F">
        <w:rPr>
          <w:i/>
          <w:szCs w:val="24"/>
        </w:rPr>
        <w:t> </w:t>
      </w:r>
      <w:r w:rsidR="0018687D" w:rsidRPr="00CC3D6F">
        <w:rPr>
          <w:szCs w:val="24"/>
        </w:rPr>
        <w:t>[2015] ICR 1010, in which he explained the subject to proof of causation in a discrimination claim under the </w:t>
      </w:r>
      <w:r w:rsidR="0018687D" w:rsidRPr="00CC3D6F">
        <w:rPr>
          <w:bCs/>
          <w:szCs w:val="24"/>
        </w:rPr>
        <w:t>Equality Act 2010</w:t>
      </w:r>
      <w:r w:rsidR="0018687D" w:rsidRPr="00CC3D6F">
        <w:rPr>
          <w:szCs w:val="24"/>
        </w:rPr>
        <w:t>, it was possible for compensation to be awarded when dismissal followed acts of unlawful discrimination, subject only to proof of causation.  There is, however, no read across from discrimination principles and the discrimination scheme, which contains no equivalent to section 47B(2), and the whistle blowing scheme (see </w:t>
      </w:r>
      <w:r w:rsidR="0018687D" w:rsidRPr="00CC3D6F">
        <w:rPr>
          <w:bCs/>
          <w:i/>
          <w:szCs w:val="24"/>
        </w:rPr>
        <w:t>Kuzel v Roche Products Ltd</w:t>
      </w:r>
      <w:r w:rsidR="0018687D" w:rsidRPr="00CC3D6F">
        <w:rPr>
          <w:i/>
          <w:szCs w:val="24"/>
        </w:rPr>
        <w:t> </w:t>
      </w:r>
      <w:r w:rsidR="00CC3D6F" w:rsidRPr="00CC3D6F">
        <w:rPr>
          <w:color w:val="000000"/>
          <w:szCs w:val="24"/>
          <w:shd w:val="clear" w:color="auto" w:fill="FFFFFF"/>
        </w:rPr>
        <w:t>[</w:t>
      </w:r>
      <w:r w:rsidR="00030D62" w:rsidRPr="00CC3D6F">
        <w:rPr>
          <w:color w:val="000000"/>
          <w:szCs w:val="24"/>
          <w:shd w:val="clear" w:color="auto" w:fill="FFFFFF"/>
        </w:rPr>
        <w:t>2008] ICR 799</w:t>
      </w:r>
      <w:r w:rsidR="00CC3D6F" w:rsidRPr="00CC3D6F">
        <w:rPr>
          <w:i/>
          <w:szCs w:val="24"/>
        </w:rPr>
        <w:t xml:space="preserve"> </w:t>
      </w:r>
      <w:r w:rsidR="0018687D" w:rsidRPr="00CC3D6F">
        <w:rPr>
          <w:szCs w:val="24"/>
        </w:rPr>
        <w:t>at paragraph 48, per Mummery LJ).</w:t>
      </w:r>
      <w:r w:rsidR="009A7977" w:rsidRPr="00CC3D6F">
        <w:rPr>
          <w:szCs w:val="24"/>
        </w:rPr>
        <w:t>”</w:t>
      </w:r>
    </w:p>
    <w:p w:rsidR="00413732" w:rsidRDefault="0048782D" w:rsidP="00763FDB">
      <w:pPr>
        <w:pStyle w:val="ParaLevel1"/>
      </w:pPr>
      <w:r>
        <w:t xml:space="preserve">The employer appealed.  </w:t>
      </w:r>
      <w:r w:rsidR="006647F4">
        <w:t>In this Court we restored the decision of the ET that the claimant could not claim for unfair dismissal.  That revived the question of whether she had an alternative route to recovery under section 47B</w:t>
      </w:r>
      <w:r w:rsidR="00B847AF" w:rsidRPr="00B847AF">
        <w:t>.</w:t>
      </w:r>
      <w:r w:rsidR="001508A0">
        <w:t xml:space="preserve">  </w:t>
      </w:r>
      <w:r w:rsidR="009B12E9">
        <w:t>C</w:t>
      </w:r>
      <w:r w:rsidR="00DF23E8">
        <w:t xml:space="preserve">ounsel for the employer </w:t>
      </w:r>
      <w:r w:rsidR="007C333F">
        <w:t xml:space="preserve">accepted that </w:t>
      </w:r>
      <w:r w:rsidR="0059305A">
        <w:t xml:space="preserve">there was no objection to such a route in principle, and he made it clear that he did </w:t>
      </w:r>
      <w:r w:rsidR="00322319">
        <w:t>not</w:t>
      </w:r>
      <w:r w:rsidR="00DF23E8">
        <w:t xml:space="preserve"> rely on Mitting J’s </w:t>
      </w:r>
      <w:r w:rsidR="00322319">
        <w:t>views about the effect of section 47B (2)</w:t>
      </w:r>
      <w:r w:rsidR="00DD092B">
        <w:t xml:space="preserve">; but he submitted that, for reasons peculiar to the case, it was not open to the claimant to put </w:t>
      </w:r>
      <w:r w:rsidR="00DE58B3">
        <w:t>her</w:t>
      </w:r>
      <w:r w:rsidR="00DD092B">
        <w:t xml:space="preserve"> case that </w:t>
      </w:r>
      <w:r w:rsidR="00AC63FD">
        <w:t>w</w:t>
      </w:r>
      <w:r w:rsidR="00DD092B">
        <w:t>ay.  We rej</w:t>
      </w:r>
      <w:r w:rsidR="002E0C89">
        <w:t>ected that submission, with the result that the case was remitted to the ET for the assessment of compensation on that basis</w:t>
      </w:r>
      <w:r w:rsidR="00322319">
        <w:t xml:space="preserve">.  </w:t>
      </w:r>
      <w:r w:rsidR="005568B1">
        <w:t>At para. 79</w:t>
      </w:r>
      <w:r w:rsidR="00322319">
        <w:t xml:space="preserve"> of my judgment, with which </w:t>
      </w:r>
      <w:r w:rsidR="003E57F2">
        <w:t xml:space="preserve">Jackson and Moylan LJJ agreed, </w:t>
      </w:r>
      <w:r w:rsidR="005568B1">
        <w:t>I said</w:t>
      </w:r>
      <w:r w:rsidR="00EC6D4B">
        <w:t xml:space="preserve"> (p. 1007-8)</w:t>
      </w:r>
      <w:r w:rsidR="005568B1">
        <w:t>:</w:t>
      </w:r>
    </w:p>
    <w:p w:rsidR="00E50B9A" w:rsidRDefault="00400A4C" w:rsidP="00763FDB">
      <w:pPr>
        <w:ind w:left="1418" w:right="793"/>
        <w:jc w:val="both"/>
        <w:rPr>
          <w:rFonts w:eastAsia="Calibri"/>
        </w:rPr>
      </w:pPr>
      <w:r w:rsidRPr="00A60E77">
        <w:t>“[Counsel’s</w:t>
      </w:r>
      <w:bookmarkStart w:id="5" w:name="para79"/>
      <w:r w:rsidR="00825A73">
        <w:t>]</w:t>
      </w:r>
      <w:r w:rsidR="00A60E77" w:rsidRPr="00A60E77">
        <w:rPr>
          <w:color w:val="000000"/>
        </w:rPr>
        <w:t xml:space="preserve"> disavowal of the more root-and-branch approach based on the effect of section 47B (2) which Mitting J adopted in para. 28 of his judgment means that it is unnecessary for us to decide whether that approach was right. It is tempting nevertheless to undertake that task because the point may be of importance in other cases. However for that very reason I think it would be wrong to express a concluded view without having heard argument. I will confine myself to the following observations. I held in para. 39 (5) of my judgment in </w:t>
      </w:r>
      <w:r w:rsidR="00A60E77" w:rsidRPr="00A60E77">
        <w:rPr>
          <w:i/>
          <w:iCs/>
          <w:color w:val="000000"/>
        </w:rPr>
        <w:t>CLFIS v Reynolds</w:t>
      </w:r>
      <w:r w:rsidR="00A60E77" w:rsidRPr="00A60E77">
        <w:rPr>
          <w:color w:val="000000"/>
        </w:rPr>
        <w:t> </w:t>
      </w:r>
      <w:r w:rsidR="00A60E77">
        <w:rPr>
          <w:color w:val="000000"/>
        </w:rPr>
        <w:t>…</w:t>
      </w:r>
      <w:r w:rsidR="00A60E77" w:rsidRPr="00A60E77">
        <w:rPr>
          <w:color w:val="000000"/>
        </w:rPr>
        <w:t xml:space="preserve"> that in principle losses occasioned by a claimant's dismissal may be recoverable as compensation for an unlawful detriment which caused the dismissal. That was said in the context of age discrimination, but this is an area where I can see no reason in principle (i.e. subject to what follows) for adopting a different approach in a case of whistleblower discrimination. The real issue is whether a claim on that basis is inconsistent with the terms of section 47B (2). What the sub-section does is preclude a claim under the operative parts of the section where the detriment which is the subject of the complaint to the tribunal – what in other contexts would b</w:t>
      </w:r>
      <w:r w:rsidR="007B1C2B">
        <w:rPr>
          <w:color w:val="000000"/>
        </w:rPr>
        <w:t>e called the cause of action – ‘amounts to a dismissal’</w:t>
      </w:r>
      <w:r w:rsidR="00A60E77" w:rsidRPr="00A60E77">
        <w:rPr>
          <w:color w:val="000000"/>
        </w:rPr>
        <w:t>; and it is clearly arguable that in this kind of case the relevant detriment is the prior treatment complained of, the dismissal being only a consequence of that detriment. But it may be that that distinction is not as straightforward as it seems: one authority that would require careful attention in this connection is the decision of this Court in </w:t>
      </w:r>
      <w:r w:rsidR="00A60E77" w:rsidRPr="00A60E77">
        <w:rPr>
          <w:i/>
          <w:iCs/>
          <w:color w:val="000000"/>
        </w:rPr>
        <w:t>Melia v Magna Kansei Ltd</w:t>
      </w:r>
      <w:r w:rsidR="00A60E77" w:rsidRPr="00A60E77">
        <w:rPr>
          <w:color w:val="000000"/>
        </w:rPr>
        <w:t> </w:t>
      </w:r>
      <w:bookmarkEnd w:id="5"/>
      <w:r w:rsidR="00A60E77" w:rsidRPr="00A60E77">
        <w:t>[2005] EWCA Civ 1547</w:t>
      </w:r>
      <w:r w:rsidR="00A60E77" w:rsidRPr="00A60E77">
        <w:rPr>
          <w:color w:val="000000"/>
        </w:rPr>
        <w:t>, </w:t>
      </w:r>
      <w:r w:rsidR="00A60E77" w:rsidRPr="00A60E77">
        <w:t>[2006] ICR 410</w:t>
      </w:r>
      <w:r w:rsidR="00A60E77" w:rsidRPr="00A60E77">
        <w:rPr>
          <w:color w:val="000000"/>
        </w:rPr>
        <w:t>, to which brief reference was made in the skeleton arguments but on which we were not addressed.</w:t>
      </w:r>
      <w:r w:rsidR="005114A5">
        <w:rPr>
          <w:szCs w:val="20"/>
        </w:rPr>
        <w:t>”</w:t>
      </w:r>
      <w:r w:rsidR="005114A5">
        <w:rPr>
          <w:rFonts w:eastAsia="Calibri"/>
        </w:rPr>
        <w:t xml:space="preserve"> </w:t>
      </w:r>
      <w:r w:rsidR="00E50B9A">
        <w:rPr>
          <w:rFonts w:eastAsia="Calibri"/>
        </w:rPr>
        <w:t xml:space="preserve">  </w:t>
      </w:r>
    </w:p>
    <w:p w:rsidR="004760AC" w:rsidRDefault="004760AC" w:rsidP="00763FDB">
      <w:pPr>
        <w:pStyle w:val="ParaLevel1"/>
        <w:rPr>
          <w:rFonts w:eastAsia="Calibri"/>
        </w:rPr>
      </w:pPr>
      <w:r>
        <w:rPr>
          <w:rFonts w:eastAsia="Calibri"/>
        </w:rPr>
        <w:t>I should also set out para. 20</w:t>
      </w:r>
      <w:r w:rsidR="00227E02">
        <w:rPr>
          <w:rFonts w:eastAsia="Calibri"/>
        </w:rPr>
        <w:t>, which concluded my exposition of the background law.  I said</w:t>
      </w:r>
      <w:r w:rsidR="00557DC3">
        <w:rPr>
          <w:rFonts w:eastAsia="Calibri"/>
        </w:rPr>
        <w:t xml:space="preserve"> (at p. 989 E-F)</w:t>
      </w:r>
      <w:r w:rsidR="00227E02">
        <w:rPr>
          <w:rFonts w:eastAsia="Calibri"/>
        </w:rPr>
        <w:t>:</w:t>
      </w:r>
    </w:p>
    <w:p w:rsidR="00227E02" w:rsidRPr="002341E5" w:rsidRDefault="00227E02" w:rsidP="00763FDB">
      <w:pPr>
        <w:pStyle w:val="ParaLevel1"/>
        <w:numPr>
          <w:ilvl w:val="0"/>
          <w:numId w:val="0"/>
        </w:numPr>
        <w:ind w:left="1418" w:right="828"/>
      </w:pPr>
      <w:bookmarkStart w:id="6" w:name="para20"/>
      <w:r>
        <w:t>“</w:t>
      </w:r>
      <w:r w:rsidRPr="00227E02">
        <w:t>The draftsman's decision to treat whistleblower dismissal as a different kind of animal than whistleblower detriment gives rise to one anomaly already identified in the case-law. This is that for the purpose of section 103A the proscribed motivation must be the only, or at least the principal, reason for the</w:t>
      </w:r>
      <w:r w:rsidR="00D2056A">
        <w:t xml:space="preserve"> dismissal, whereas the phrase ‘on the ground that’</w:t>
      </w:r>
      <w:r w:rsidRPr="00227E02">
        <w:t xml:space="preserve"> in section 47B comprises any case where it is a significant part of that motivation: that this was anomalous was acknowledged by Elias LJ in </w:t>
      </w:r>
      <w:r w:rsidR="00763FDB" w:rsidRPr="00227E02">
        <w:rPr>
          <w:i/>
          <w:iCs/>
        </w:rPr>
        <w:t>Fecitt</w:t>
      </w:r>
      <w:r w:rsidR="00763FDB">
        <w:t> –</w:t>
      </w:r>
      <w:r w:rsidR="00E21BDF">
        <w:t xml:space="preserve"> </w:t>
      </w:r>
      <w:r w:rsidRPr="00227E02">
        <w:t>see para. 44 (p. 384 C-D). Another anomaly, following the changes effected by the 2013 Act, is that a worker can be individually liable for whistleblower detriment whereas under section 103A, as for unfair dismissal generally, only the employer can be liable. Other anomalies may await exploration.</w:t>
      </w:r>
      <w:bookmarkEnd w:id="6"/>
      <w:r>
        <w:t>”</w:t>
      </w:r>
    </w:p>
    <w:p w:rsidR="00D953AF" w:rsidRPr="009A0603" w:rsidRDefault="002A18CB" w:rsidP="00763FDB">
      <w:pPr>
        <w:pStyle w:val="ParaLevel1"/>
        <w:numPr>
          <w:ilvl w:val="0"/>
          <w:numId w:val="0"/>
        </w:numPr>
        <w:ind w:left="720"/>
        <w:rPr>
          <w:rFonts w:eastAsia="Calibri"/>
          <w:szCs w:val="24"/>
        </w:rPr>
      </w:pPr>
      <w:r>
        <w:rPr>
          <w:rFonts w:eastAsia="Calibri"/>
        </w:rPr>
        <w:t>I</w:t>
      </w:r>
      <w:r w:rsidR="00834BDF">
        <w:rPr>
          <w:rFonts w:eastAsia="Calibri"/>
        </w:rPr>
        <w:t xml:space="preserve"> need to</w:t>
      </w:r>
      <w:r>
        <w:rPr>
          <w:rFonts w:eastAsia="Calibri"/>
        </w:rPr>
        <w:t xml:space="preserve"> explain the reference to </w:t>
      </w:r>
      <w:r w:rsidR="002B5739" w:rsidRPr="00703CB2">
        <w:rPr>
          <w:rFonts w:eastAsia="Calibri"/>
          <w:i/>
        </w:rPr>
        <w:t>F</w:t>
      </w:r>
      <w:r w:rsidR="00703CB2" w:rsidRPr="00703CB2">
        <w:rPr>
          <w:rFonts w:eastAsia="Calibri"/>
          <w:i/>
        </w:rPr>
        <w:t>ecitt</w:t>
      </w:r>
      <w:r>
        <w:rPr>
          <w:rFonts w:eastAsia="Calibri"/>
        </w:rPr>
        <w:t xml:space="preserve">.  In the passage </w:t>
      </w:r>
      <w:r w:rsidR="00703CB2">
        <w:rPr>
          <w:rFonts w:eastAsia="Calibri"/>
        </w:rPr>
        <w:t>to which I refer Elias LJ</w:t>
      </w:r>
      <w:r w:rsidR="00D953AF">
        <w:rPr>
          <w:rFonts w:eastAsia="Calibri"/>
        </w:rPr>
        <w:t xml:space="preserve"> </w:t>
      </w:r>
      <w:r w:rsidR="00703CB2">
        <w:rPr>
          <w:rFonts w:eastAsia="Calibri"/>
        </w:rPr>
        <w:t xml:space="preserve">declined to </w:t>
      </w:r>
      <w:r w:rsidR="00F1466F">
        <w:rPr>
          <w:rFonts w:eastAsia="Calibri"/>
        </w:rPr>
        <w:t xml:space="preserve">adopt a construction of </w:t>
      </w:r>
      <w:r w:rsidR="00022965">
        <w:rPr>
          <w:rFonts w:eastAsia="Calibri"/>
        </w:rPr>
        <w:t xml:space="preserve">the phrase “on the ground that” in </w:t>
      </w:r>
      <w:r w:rsidR="0034385C">
        <w:rPr>
          <w:rFonts w:eastAsia="Calibri"/>
        </w:rPr>
        <w:t xml:space="preserve">section 47B (1) which equated </w:t>
      </w:r>
      <w:r w:rsidR="00022965">
        <w:rPr>
          <w:rFonts w:eastAsia="Calibri"/>
        </w:rPr>
        <w:t xml:space="preserve">to </w:t>
      </w:r>
      <w:r w:rsidR="0034385C">
        <w:rPr>
          <w:rFonts w:eastAsia="Calibri"/>
        </w:rPr>
        <w:t xml:space="preserve">the </w:t>
      </w:r>
      <w:r w:rsidR="00140ECC">
        <w:rPr>
          <w:rFonts w:eastAsia="Calibri"/>
        </w:rPr>
        <w:t>“principal reason” test in</w:t>
      </w:r>
      <w:r w:rsidR="0034385C">
        <w:rPr>
          <w:rFonts w:eastAsia="Calibri"/>
        </w:rPr>
        <w:t xml:space="preserve"> section 103A</w:t>
      </w:r>
      <w:r w:rsidR="00834BDF">
        <w:rPr>
          <w:rFonts w:eastAsia="Calibri"/>
        </w:rPr>
        <w:t>; he</w:t>
      </w:r>
      <w:r w:rsidR="0034385C">
        <w:rPr>
          <w:rFonts w:eastAsia="Calibri"/>
        </w:rPr>
        <w:t xml:space="preserve"> observ</w:t>
      </w:r>
      <w:r w:rsidR="00834BDF">
        <w:rPr>
          <w:rFonts w:eastAsia="Calibri"/>
        </w:rPr>
        <w:t xml:space="preserve">ed </w:t>
      </w:r>
      <w:r w:rsidR="0034385C">
        <w:rPr>
          <w:rFonts w:eastAsia="Calibri"/>
        </w:rPr>
        <w:t>that</w:t>
      </w:r>
      <w:r w:rsidR="00834BDF">
        <w:rPr>
          <w:rFonts w:eastAsia="Calibri"/>
        </w:rPr>
        <w:t>,</w:t>
      </w:r>
      <w:r w:rsidR="0034385C">
        <w:rPr>
          <w:rFonts w:eastAsia="Calibri"/>
        </w:rPr>
        <w:t xml:space="preserve"> </w:t>
      </w:r>
      <w:r w:rsidR="00022965">
        <w:rPr>
          <w:rFonts w:eastAsia="Calibri"/>
        </w:rPr>
        <w:t xml:space="preserve">although having different tests was anomalous, </w:t>
      </w:r>
      <w:bookmarkStart w:id="7" w:name="para44"/>
      <w:r w:rsidR="009A0603">
        <w:rPr>
          <w:rFonts w:eastAsia="Calibri"/>
          <w:szCs w:val="24"/>
        </w:rPr>
        <w:t>“</w:t>
      </w:r>
      <w:r w:rsidR="00022965" w:rsidRPr="009A0603">
        <w:rPr>
          <w:color w:val="000000"/>
          <w:szCs w:val="24"/>
        </w:rPr>
        <w:t>that is simply the result of placing dismissal for this particular reason into the general run of unfair dismissal law</w:t>
      </w:r>
      <w:r w:rsidR="009A0603">
        <w:rPr>
          <w:color w:val="000000"/>
          <w:szCs w:val="24"/>
        </w:rPr>
        <w:t>”</w:t>
      </w:r>
      <w:r w:rsidR="00022965" w:rsidRPr="009A0603">
        <w:rPr>
          <w:color w:val="000000"/>
          <w:szCs w:val="24"/>
        </w:rPr>
        <w:t>.</w:t>
      </w:r>
      <w:bookmarkEnd w:id="7"/>
      <w:r w:rsidR="00703CB2">
        <w:rPr>
          <w:rFonts w:eastAsia="Calibri"/>
        </w:rPr>
        <w:t xml:space="preserve"> </w:t>
      </w:r>
    </w:p>
    <w:p w:rsidR="007B1C2B" w:rsidRDefault="007B1C2B" w:rsidP="00763FDB">
      <w:pPr>
        <w:pStyle w:val="ParaLevel1"/>
        <w:rPr>
          <w:rFonts w:eastAsia="Calibri"/>
        </w:rPr>
      </w:pPr>
      <w:r>
        <w:rPr>
          <w:rFonts w:eastAsia="Calibri"/>
        </w:rPr>
        <w:t xml:space="preserve">I should say that the Supreme Court has given permission to appeal in </w:t>
      </w:r>
      <w:r w:rsidRPr="003B5B06">
        <w:rPr>
          <w:rFonts w:eastAsia="Calibri"/>
          <w:i/>
        </w:rPr>
        <w:t>Jhuti</w:t>
      </w:r>
      <w:r>
        <w:rPr>
          <w:rFonts w:eastAsia="Calibri"/>
        </w:rPr>
        <w:t xml:space="preserve">, but </w:t>
      </w:r>
      <w:r w:rsidR="002C3BBF">
        <w:rPr>
          <w:rFonts w:eastAsia="Calibri"/>
        </w:rPr>
        <w:t>it was not</w:t>
      </w:r>
      <w:r>
        <w:rPr>
          <w:rFonts w:eastAsia="Calibri"/>
        </w:rPr>
        <w:t xml:space="preserve"> suggested that we should </w:t>
      </w:r>
      <w:r w:rsidR="007573FE">
        <w:rPr>
          <w:rFonts w:eastAsia="Calibri"/>
        </w:rPr>
        <w:t xml:space="preserve">adjourn this appeal to await the </w:t>
      </w:r>
      <w:r w:rsidR="00583BE8">
        <w:rPr>
          <w:rFonts w:eastAsia="Calibri"/>
        </w:rPr>
        <w:t>outcome</w:t>
      </w:r>
      <w:r w:rsidR="007573FE">
        <w:rPr>
          <w:rFonts w:eastAsia="Calibri"/>
        </w:rPr>
        <w:t>.</w:t>
      </w:r>
    </w:p>
    <w:p w:rsidR="00E50B9A" w:rsidRPr="00E50B9A" w:rsidRDefault="00E50B9A" w:rsidP="00763FDB">
      <w:pPr>
        <w:pStyle w:val="ParaLevel1"/>
        <w:numPr>
          <w:ilvl w:val="0"/>
          <w:numId w:val="0"/>
        </w:numPr>
        <w:rPr>
          <w:rFonts w:eastAsia="Calibri"/>
          <w:u w:val="single"/>
        </w:rPr>
      </w:pPr>
      <w:r>
        <w:rPr>
          <w:rFonts w:eastAsia="Calibri"/>
          <w:u w:val="single"/>
        </w:rPr>
        <w:t>THE APPELLANTS’ CASE</w:t>
      </w:r>
    </w:p>
    <w:p w:rsidR="006701B5" w:rsidRDefault="006701B5" w:rsidP="00763FDB">
      <w:pPr>
        <w:pStyle w:val="ParaLevel1"/>
        <w:rPr>
          <w:rFonts w:eastAsia="Calibri"/>
        </w:rPr>
      </w:pPr>
      <w:r>
        <w:rPr>
          <w:rFonts w:eastAsia="Calibri"/>
        </w:rPr>
        <w:t xml:space="preserve">For convenience I will set out again the </w:t>
      </w:r>
      <w:r w:rsidR="003F3E0E">
        <w:rPr>
          <w:rFonts w:eastAsia="Calibri"/>
        </w:rPr>
        <w:t xml:space="preserve">relevant </w:t>
      </w:r>
      <w:r>
        <w:rPr>
          <w:rFonts w:eastAsia="Calibri"/>
        </w:rPr>
        <w:t>terms of section 47B (2):</w:t>
      </w:r>
    </w:p>
    <w:p w:rsidR="003F3E0E" w:rsidRPr="0066552C" w:rsidRDefault="003F3E0E" w:rsidP="00763FDB">
      <w:pPr>
        <w:pStyle w:val="ParaLevel1"/>
        <w:numPr>
          <w:ilvl w:val="0"/>
          <w:numId w:val="0"/>
        </w:numPr>
        <w:ind w:left="1418" w:right="793"/>
        <w:rPr>
          <w:lang w:eastAsia="en-GB"/>
        </w:rPr>
      </w:pPr>
      <w:r>
        <w:rPr>
          <w:lang w:eastAsia="en-GB"/>
        </w:rPr>
        <w:t>“</w:t>
      </w:r>
      <w:r w:rsidRPr="0066552C">
        <w:rPr>
          <w:lang w:eastAsia="en-GB"/>
        </w:rPr>
        <w:t>T</w:t>
      </w:r>
      <w:r>
        <w:rPr>
          <w:lang w:eastAsia="en-GB"/>
        </w:rPr>
        <w:t xml:space="preserve">his section does not apply where … </w:t>
      </w:r>
      <w:r w:rsidRPr="0066552C">
        <w:rPr>
          <w:lang w:eastAsia="en-GB"/>
        </w:rPr>
        <w:t>the detriment in question amounts to dismissal (within the meaning of Part X).</w:t>
      </w:r>
      <w:r>
        <w:rPr>
          <w:lang w:eastAsia="en-GB"/>
        </w:rPr>
        <w:t>”</w:t>
      </w:r>
      <w:r w:rsidRPr="0066552C">
        <w:rPr>
          <w:lang w:eastAsia="en-GB"/>
        </w:rPr>
        <w:t xml:space="preserve"> </w:t>
      </w:r>
    </w:p>
    <w:p w:rsidR="007C1E90" w:rsidRDefault="00DC05B2" w:rsidP="00763FDB">
      <w:pPr>
        <w:pStyle w:val="ParaLevel1"/>
        <w:numPr>
          <w:ilvl w:val="0"/>
          <w:numId w:val="0"/>
        </w:numPr>
        <w:ind w:left="720"/>
        <w:rPr>
          <w:rFonts w:eastAsia="Calibri"/>
        </w:rPr>
      </w:pPr>
      <w:r>
        <w:rPr>
          <w:rFonts w:eastAsia="Calibri"/>
        </w:rPr>
        <w:t>Mr Stilitz</w:t>
      </w:r>
      <w:r w:rsidR="009E172D">
        <w:rPr>
          <w:rFonts w:eastAsia="Calibri"/>
        </w:rPr>
        <w:t xml:space="preserve"> in his skeleton argument </w:t>
      </w:r>
      <w:r w:rsidR="002B1CBD">
        <w:rPr>
          <w:rFonts w:eastAsia="Calibri"/>
        </w:rPr>
        <w:t>contend</w:t>
      </w:r>
      <w:r w:rsidR="007C1E90">
        <w:rPr>
          <w:rFonts w:eastAsia="Calibri"/>
        </w:rPr>
        <w:t xml:space="preserve">ed that </w:t>
      </w:r>
      <w:r w:rsidR="007D2938">
        <w:rPr>
          <w:rFonts w:eastAsia="Calibri"/>
        </w:rPr>
        <w:t xml:space="preserve">the present case </w:t>
      </w:r>
      <w:r w:rsidR="006224DC">
        <w:rPr>
          <w:rFonts w:eastAsia="Calibri"/>
        </w:rPr>
        <w:t xml:space="preserve">falls within the terms of </w:t>
      </w:r>
      <w:r w:rsidR="002B1CBD">
        <w:rPr>
          <w:rFonts w:eastAsia="Calibri"/>
        </w:rPr>
        <w:t>section 47B (2) for two reasons.  He submitted that:</w:t>
      </w:r>
    </w:p>
    <w:p w:rsidR="007B7000" w:rsidRDefault="007C1E90" w:rsidP="00763FDB">
      <w:pPr>
        <w:pStyle w:val="ParaLevel1"/>
        <w:numPr>
          <w:ilvl w:val="0"/>
          <w:numId w:val="0"/>
        </w:numPr>
        <w:ind w:left="1418" w:right="793"/>
        <w:rPr>
          <w:rFonts w:eastAsia="Calibri"/>
        </w:rPr>
      </w:pPr>
      <w:r>
        <w:rPr>
          <w:rFonts w:eastAsia="Calibri"/>
        </w:rPr>
        <w:t>“a detriment amounts to dismissal</w:t>
      </w:r>
      <w:r w:rsidR="007B7000">
        <w:rPr>
          <w:rFonts w:eastAsia="Calibri"/>
        </w:rPr>
        <w:t xml:space="preserve"> where:</w:t>
      </w:r>
    </w:p>
    <w:p w:rsidR="00CB54B3" w:rsidRDefault="003761E5" w:rsidP="00763FDB">
      <w:pPr>
        <w:pStyle w:val="ParaLevel1"/>
        <w:numPr>
          <w:ilvl w:val="0"/>
          <w:numId w:val="0"/>
        </w:numPr>
        <w:ind w:left="1985" w:right="794" w:hanging="567"/>
        <w:rPr>
          <w:rFonts w:eastAsia="Calibri"/>
        </w:rPr>
      </w:pPr>
      <w:r>
        <w:rPr>
          <w:rFonts w:eastAsia="Calibri"/>
        </w:rPr>
        <w:t>(i)</w:t>
      </w:r>
      <w:r>
        <w:rPr>
          <w:rFonts w:eastAsia="Calibri"/>
        </w:rPr>
        <w:tab/>
      </w:r>
      <w:r w:rsidR="007B7000">
        <w:rPr>
          <w:rFonts w:eastAsia="Calibri"/>
        </w:rPr>
        <w:t xml:space="preserve">the </w:t>
      </w:r>
      <w:r w:rsidR="00CB54B3">
        <w:rPr>
          <w:rFonts w:eastAsia="Calibri"/>
        </w:rPr>
        <w:t>l</w:t>
      </w:r>
      <w:r w:rsidR="007B7000">
        <w:rPr>
          <w:rFonts w:eastAsia="Calibri"/>
        </w:rPr>
        <w:t xml:space="preserve">osses sought to be recovered are losses </w:t>
      </w:r>
      <w:r w:rsidR="00CB54B3">
        <w:rPr>
          <w:rFonts w:eastAsia="Calibri"/>
        </w:rPr>
        <w:t>flowing from the dismissal; and/or</w:t>
      </w:r>
    </w:p>
    <w:p w:rsidR="00B55659" w:rsidRPr="00B55659" w:rsidRDefault="003761E5" w:rsidP="00763FDB">
      <w:pPr>
        <w:pStyle w:val="ParaLevel1"/>
        <w:numPr>
          <w:ilvl w:val="0"/>
          <w:numId w:val="0"/>
        </w:numPr>
        <w:ind w:left="1985" w:right="794" w:hanging="567"/>
        <w:rPr>
          <w:rFonts w:eastAsia="Calibri"/>
        </w:rPr>
      </w:pPr>
      <w:r>
        <w:rPr>
          <w:rFonts w:eastAsia="Calibri"/>
        </w:rPr>
        <w:t>(ii)</w:t>
      </w:r>
      <w:r>
        <w:rPr>
          <w:rFonts w:eastAsia="Calibri"/>
        </w:rPr>
        <w:tab/>
      </w:r>
      <w:r w:rsidR="00CB54B3">
        <w:rPr>
          <w:rFonts w:eastAsia="Calibri"/>
        </w:rPr>
        <w:t>the act said to be the detriment is, in substance, nothing more than the dismissal”.</w:t>
      </w:r>
    </w:p>
    <w:p w:rsidR="00C705AA" w:rsidRPr="00912E3A" w:rsidRDefault="002341E5" w:rsidP="00763FDB">
      <w:pPr>
        <w:pStyle w:val="ParaLevel1"/>
        <w:rPr>
          <w:rFonts w:eastAsia="Calibri"/>
        </w:rPr>
      </w:pPr>
      <w:r>
        <w:rPr>
          <w:szCs w:val="24"/>
        </w:rPr>
        <w:t>Although both are based on the terms of section 47B (2), those propositions are distinct</w:t>
      </w:r>
      <w:r w:rsidR="00052ED9">
        <w:rPr>
          <w:szCs w:val="24"/>
        </w:rPr>
        <w:t xml:space="preserve"> and have different effects.  </w:t>
      </w:r>
      <w:r w:rsidR="00626C80">
        <w:rPr>
          <w:szCs w:val="24"/>
        </w:rPr>
        <w:t xml:space="preserve">I take </w:t>
      </w:r>
      <w:r w:rsidR="00052ED9">
        <w:rPr>
          <w:szCs w:val="24"/>
        </w:rPr>
        <w:t>them</w:t>
      </w:r>
      <w:r w:rsidR="00626C80">
        <w:rPr>
          <w:szCs w:val="24"/>
        </w:rPr>
        <w:t xml:space="preserve"> in turn</w:t>
      </w:r>
      <w:r w:rsidR="00D2056A">
        <w:rPr>
          <w:szCs w:val="24"/>
        </w:rPr>
        <w:t>, though in the reverse order</w:t>
      </w:r>
      <w:r w:rsidR="00626C80">
        <w:rPr>
          <w:szCs w:val="24"/>
        </w:rPr>
        <w:t xml:space="preserve">.  In my judgment in </w:t>
      </w:r>
      <w:r w:rsidR="00626C80" w:rsidRPr="002C6BBA">
        <w:rPr>
          <w:i/>
          <w:szCs w:val="24"/>
        </w:rPr>
        <w:t>Jhuti</w:t>
      </w:r>
      <w:r w:rsidR="00626C80">
        <w:rPr>
          <w:szCs w:val="24"/>
        </w:rPr>
        <w:t xml:space="preserve"> </w:t>
      </w:r>
      <w:r w:rsidR="00754B7A">
        <w:rPr>
          <w:szCs w:val="24"/>
        </w:rPr>
        <w:t xml:space="preserve">(see para. </w:t>
      </w:r>
      <w:r w:rsidR="00834BDF">
        <w:rPr>
          <w:szCs w:val="24"/>
        </w:rPr>
        <w:t>53</w:t>
      </w:r>
      <w:r w:rsidR="00754B7A">
        <w:rPr>
          <w:szCs w:val="24"/>
        </w:rPr>
        <w:t xml:space="preserve"> above) </w:t>
      </w:r>
      <w:r w:rsidR="00626C80">
        <w:rPr>
          <w:szCs w:val="24"/>
        </w:rPr>
        <w:t xml:space="preserve">I said that it would be necessary to consider with some care </w:t>
      </w:r>
      <w:r w:rsidR="00626C80">
        <w:rPr>
          <w:rFonts w:eastAsia="Calibri"/>
        </w:rPr>
        <w:t xml:space="preserve">the decision of this Court in </w:t>
      </w:r>
      <w:r w:rsidR="00626C80" w:rsidRPr="00C25B12">
        <w:rPr>
          <w:i/>
        </w:rPr>
        <w:t>Melia v Magna Kansei Ltd</w:t>
      </w:r>
      <w:r w:rsidR="00626C80" w:rsidRPr="0053128E">
        <w:t xml:space="preserve"> [2005] EWCA Civ 1547, [2006] ICR 410</w:t>
      </w:r>
      <w:r w:rsidR="00463D95">
        <w:t xml:space="preserve">, </w:t>
      </w:r>
      <w:r w:rsidR="00626C80">
        <w:t>but I think it</w:t>
      </w:r>
      <w:r w:rsidR="00626C80">
        <w:rPr>
          <w:szCs w:val="24"/>
        </w:rPr>
        <w:t xml:space="preserve"> will be more convenient at this stage to leave it to one side: I return to it at paras. </w:t>
      </w:r>
      <w:r w:rsidR="00834BDF">
        <w:rPr>
          <w:szCs w:val="24"/>
        </w:rPr>
        <w:t>85</w:t>
      </w:r>
      <w:r w:rsidR="00626C80">
        <w:rPr>
          <w:szCs w:val="24"/>
        </w:rPr>
        <w:t>-</w:t>
      </w:r>
      <w:r w:rsidR="00834BDF">
        <w:rPr>
          <w:szCs w:val="24"/>
        </w:rPr>
        <w:t>90</w:t>
      </w:r>
      <w:r w:rsidR="00626C80">
        <w:rPr>
          <w:szCs w:val="24"/>
        </w:rPr>
        <w:t xml:space="preserve"> below.</w:t>
      </w:r>
      <w:r w:rsidR="0075473D" w:rsidRPr="00912E3A">
        <w:rPr>
          <w:rFonts w:eastAsia="Calibri"/>
        </w:rPr>
        <w:t xml:space="preserve"> </w:t>
      </w:r>
    </w:p>
    <w:p w:rsidR="00C705AA" w:rsidRPr="00801214" w:rsidRDefault="0055675F" w:rsidP="00763FDB">
      <w:pPr>
        <w:pStyle w:val="ParaLevel1"/>
        <w:numPr>
          <w:ilvl w:val="0"/>
          <w:numId w:val="0"/>
        </w:numPr>
        <w:rPr>
          <w:rFonts w:eastAsia="Calibri"/>
          <w:u w:val="single"/>
        </w:rPr>
      </w:pPr>
      <w:r>
        <w:rPr>
          <w:rFonts w:eastAsia="Calibri"/>
          <w:u w:val="single"/>
        </w:rPr>
        <w:t>(1</w:t>
      </w:r>
      <w:r w:rsidR="00FF1DD4">
        <w:rPr>
          <w:rFonts w:eastAsia="Calibri"/>
          <w:u w:val="single"/>
        </w:rPr>
        <w:t>)</w:t>
      </w:r>
      <w:r w:rsidR="00FF1DD4">
        <w:rPr>
          <w:rFonts w:eastAsia="Calibri"/>
          <w:u w:val="single"/>
        </w:rPr>
        <w:tab/>
        <w:t xml:space="preserve">   </w:t>
      </w:r>
      <w:r>
        <w:rPr>
          <w:rFonts w:eastAsia="Calibri"/>
          <w:u w:val="single"/>
        </w:rPr>
        <w:t>WAS THE DETRIMENT CAUGHT BY SECTION 47B (2) ?</w:t>
      </w:r>
    </w:p>
    <w:p w:rsidR="00AD7CEE" w:rsidRDefault="00181BAE" w:rsidP="00763FDB">
      <w:pPr>
        <w:pStyle w:val="ParaLevel1"/>
        <w:rPr>
          <w:rFonts w:eastAsia="Calibri"/>
        </w:rPr>
      </w:pPr>
      <w:r>
        <w:rPr>
          <w:rFonts w:eastAsia="Calibri"/>
        </w:rPr>
        <w:t xml:space="preserve">The starting-point for </w:t>
      </w:r>
      <w:r w:rsidR="00AD6E0C">
        <w:rPr>
          <w:rFonts w:eastAsia="Calibri"/>
        </w:rPr>
        <w:t>Mr Stilitz</w:t>
      </w:r>
      <w:r>
        <w:rPr>
          <w:rFonts w:eastAsia="Calibri"/>
        </w:rPr>
        <w:t xml:space="preserve">’s case is the submission </w:t>
      </w:r>
      <w:r w:rsidR="00AD6E0C">
        <w:rPr>
          <w:rFonts w:eastAsia="Calibri"/>
        </w:rPr>
        <w:t>that</w:t>
      </w:r>
      <w:r>
        <w:rPr>
          <w:rFonts w:eastAsia="Calibri"/>
        </w:rPr>
        <w:t>,</w:t>
      </w:r>
      <w:r w:rsidR="00AD6E0C">
        <w:rPr>
          <w:rFonts w:eastAsia="Calibri"/>
        </w:rPr>
        <w:t xml:space="preserve"> although “detriment (m)” was pleaded as an instruction/recommendation that the Claimant be dismissed</w:t>
      </w:r>
      <w:r w:rsidR="00052ED9">
        <w:rPr>
          <w:rFonts w:eastAsia="Calibri"/>
        </w:rPr>
        <w:t>,</w:t>
      </w:r>
      <w:r w:rsidR="006E0070">
        <w:rPr>
          <w:rFonts w:eastAsia="Calibri"/>
        </w:rPr>
        <w:t xml:space="preserve"> rather than </w:t>
      </w:r>
      <w:r w:rsidR="00052ED9">
        <w:rPr>
          <w:rFonts w:eastAsia="Calibri"/>
        </w:rPr>
        <w:t xml:space="preserve">as </w:t>
      </w:r>
      <w:r w:rsidR="006E0070">
        <w:rPr>
          <w:rFonts w:eastAsia="Calibri"/>
        </w:rPr>
        <w:t>the dismissal itself</w:t>
      </w:r>
      <w:r>
        <w:rPr>
          <w:rFonts w:eastAsia="Calibri"/>
        </w:rPr>
        <w:t>,</w:t>
      </w:r>
      <w:r w:rsidR="00AD6E0C">
        <w:rPr>
          <w:rFonts w:eastAsia="Calibri"/>
        </w:rPr>
        <w:t xml:space="preserve"> that was a distinction without a difference.  </w:t>
      </w:r>
      <w:r w:rsidR="006E0070">
        <w:rPr>
          <w:rFonts w:eastAsia="Calibri"/>
        </w:rPr>
        <w:t>On</w:t>
      </w:r>
      <w:r w:rsidR="00244E69">
        <w:rPr>
          <w:rFonts w:eastAsia="Calibri"/>
        </w:rPr>
        <w:t xml:space="preserve"> the ET’s findings </w:t>
      </w:r>
      <w:r w:rsidR="006E0070">
        <w:rPr>
          <w:rFonts w:eastAsia="Calibri"/>
        </w:rPr>
        <w:t xml:space="preserve">the reality </w:t>
      </w:r>
      <w:r w:rsidR="00682463">
        <w:rPr>
          <w:rFonts w:eastAsia="Calibri"/>
        </w:rPr>
        <w:t>w</w:t>
      </w:r>
      <w:r w:rsidR="00806C4D">
        <w:rPr>
          <w:rFonts w:eastAsia="Calibri"/>
        </w:rPr>
        <w:t xml:space="preserve">as that the decision </w:t>
      </w:r>
      <w:r w:rsidR="00682463">
        <w:rPr>
          <w:rFonts w:eastAsia="Calibri"/>
        </w:rPr>
        <w:t xml:space="preserve">to dismiss </w:t>
      </w:r>
      <w:r w:rsidR="00806C4D">
        <w:rPr>
          <w:rFonts w:eastAsia="Calibri"/>
        </w:rPr>
        <w:t xml:space="preserve">was </w:t>
      </w:r>
      <w:r w:rsidR="00682463">
        <w:rPr>
          <w:rFonts w:eastAsia="Calibri"/>
        </w:rPr>
        <w:t>taken by Mr Timis (</w:t>
      </w:r>
      <w:r w:rsidR="00806C4D">
        <w:rPr>
          <w:rFonts w:eastAsia="Calibri"/>
        </w:rPr>
        <w:t>perhaps</w:t>
      </w:r>
      <w:r w:rsidR="00682463">
        <w:rPr>
          <w:rFonts w:eastAsia="Calibri"/>
        </w:rPr>
        <w:t xml:space="preserve"> jointly with Mr Sage, though that</w:t>
      </w:r>
      <w:r w:rsidR="00806C4D">
        <w:rPr>
          <w:rFonts w:eastAsia="Calibri"/>
        </w:rPr>
        <w:t xml:space="preserve"> is immaterial to the present point</w:t>
      </w:r>
      <w:r w:rsidR="00682463">
        <w:rPr>
          <w:rFonts w:eastAsia="Calibri"/>
        </w:rPr>
        <w:t>) and Mr Sage</w:t>
      </w:r>
      <w:r w:rsidR="007315E5">
        <w:rPr>
          <w:rFonts w:eastAsia="Calibri"/>
        </w:rPr>
        <w:t>’s e-mail was no more than the communication of that decision</w:t>
      </w:r>
      <w:r w:rsidR="00570794">
        <w:rPr>
          <w:rFonts w:eastAsia="Calibri"/>
        </w:rPr>
        <w:t xml:space="preserve">. </w:t>
      </w:r>
      <w:r w:rsidR="00AD7CEE">
        <w:rPr>
          <w:rFonts w:eastAsia="Calibri"/>
        </w:rPr>
        <w:t xml:space="preserve"> </w:t>
      </w:r>
      <w:r w:rsidR="00565830">
        <w:rPr>
          <w:rFonts w:eastAsia="Calibri"/>
        </w:rPr>
        <w:t>Mr Stilitz</w:t>
      </w:r>
      <w:r w:rsidR="008E57D2">
        <w:rPr>
          <w:rFonts w:eastAsia="Calibri"/>
        </w:rPr>
        <w:t xml:space="preserve"> place</w:t>
      </w:r>
      <w:r w:rsidR="00244E69">
        <w:rPr>
          <w:rFonts w:eastAsia="Calibri"/>
        </w:rPr>
        <w:t>d</w:t>
      </w:r>
      <w:r w:rsidR="008E57D2">
        <w:rPr>
          <w:rFonts w:eastAsia="Calibri"/>
        </w:rPr>
        <w:t xml:space="preserve"> some weight on the </w:t>
      </w:r>
      <w:r w:rsidR="00360D11">
        <w:rPr>
          <w:rFonts w:eastAsia="Calibri"/>
        </w:rPr>
        <w:t xml:space="preserve">statutory </w:t>
      </w:r>
      <w:r w:rsidR="008E57D2">
        <w:rPr>
          <w:rFonts w:eastAsia="Calibri"/>
        </w:rPr>
        <w:t xml:space="preserve">phrase “amounts to”, which </w:t>
      </w:r>
      <w:r w:rsidR="00822C35">
        <w:rPr>
          <w:rFonts w:eastAsia="Calibri"/>
        </w:rPr>
        <w:t xml:space="preserve">he submitted </w:t>
      </w:r>
      <w:r w:rsidR="00F35EAF">
        <w:rPr>
          <w:rFonts w:eastAsia="Calibri"/>
        </w:rPr>
        <w:t>was chosen by the draftsman in order to make clear</w:t>
      </w:r>
      <w:r w:rsidR="005039CB">
        <w:rPr>
          <w:rFonts w:eastAsia="Calibri"/>
        </w:rPr>
        <w:t xml:space="preserve"> that </w:t>
      </w:r>
      <w:r w:rsidR="001A468F">
        <w:rPr>
          <w:rFonts w:eastAsia="Calibri"/>
        </w:rPr>
        <w:t>an approach based on substance rather than form</w:t>
      </w:r>
      <w:r w:rsidR="005039CB">
        <w:rPr>
          <w:rFonts w:eastAsia="Calibri"/>
        </w:rPr>
        <w:t xml:space="preserve"> was required</w:t>
      </w:r>
      <w:r w:rsidR="00F35EAF">
        <w:rPr>
          <w:rFonts w:eastAsia="Calibri"/>
        </w:rPr>
        <w:t xml:space="preserve"> – though </w:t>
      </w:r>
      <w:r w:rsidR="001A468F">
        <w:rPr>
          <w:rFonts w:eastAsia="Calibri"/>
        </w:rPr>
        <w:t xml:space="preserve">in truth </w:t>
      </w:r>
      <w:r w:rsidR="00F35EAF">
        <w:rPr>
          <w:rFonts w:eastAsia="Calibri"/>
        </w:rPr>
        <w:t xml:space="preserve">it seems to me </w:t>
      </w:r>
      <w:r w:rsidR="00FA57C0">
        <w:rPr>
          <w:rFonts w:eastAsia="Calibri"/>
        </w:rPr>
        <w:t xml:space="preserve">that </w:t>
      </w:r>
      <w:r w:rsidR="001A468F">
        <w:rPr>
          <w:rFonts w:eastAsia="Calibri"/>
        </w:rPr>
        <w:t xml:space="preserve">the submission would have been </w:t>
      </w:r>
      <w:r w:rsidR="00AD7CEE">
        <w:rPr>
          <w:rFonts w:eastAsia="Calibri"/>
        </w:rPr>
        <w:t xml:space="preserve">open to him </w:t>
      </w:r>
      <w:r w:rsidR="001A468F">
        <w:rPr>
          <w:rFonts w:eastAsia="Calibri"/>
        </w:rPr>
        <w:t xml:space="preserve">even if </w:t>
      </w:r>
      <w:r w:rsidR="00F845A9">
        <w:rPr>
          <w:rFonts w:eastAsia="Calibri"/>
        </w:rPr>
        <w:t>the verb used</w:t>
      </w:r>
      <w:r w:rsidR="00FA57C0">
        <w:rPr>
          <w:rFonts w:eastAsia="Calibri"/>
        </w:rPr>
        <w:t xml:space="preserve"> had been “constitutes”, or simply “is”</w:t>
      </w:r>
      <w:r w:rsidR="00AD7CEE">
        <w:rPr>
          <w:rFonts w:eastAsia="Calibri"/>
        </w:rPr>
        <w:t>.</w:t>
      </w:r>
      <w:r w:rsidR="00360D11">
        <w:rPr>
          <w:rFonts w:eastAsia="Calibri"/>
        </w:rPr>
        <w:t xml:space="preserve">  </w:t>
      </w:r>
      <w:r w:rsidR="008D1A95">
        <w:rPr>
          <w:rFonts w:eastAsia="Calibri"/>
        </w:rPr>
        <w:t>In this case t</w:t>
      </w:r>
      <w:r w:rsidR="00730070">
        <w:rPr>
          <w:rFonts w:eastAsia="Calibri"/>
        </w:rPr>
        <w:t xml:space="preserve">he </w:t>
      </w:r>
      <w:r w:rsidR="008D1A95">
        <w:rPr>
          <w:rFonts w:eastAsia="Calibri"/>
        </w:rPr>
        <w:t xml:space="preserve">Claimant’s </w:t>
      </w:r>
      <w:r w:rsidR="00730070">
        <w:rPr>
          <w:rFonts w:eastAsia="Calibri"/>
        </w:rPr>
        <w:t xml:space="preserve">complaint was in substance about </w:t>
      </w:r>
      <w:r w:rsidR="008D1A95">
        <w:rPr>
          <w:rFonts w:eastAsia="Calibri"/>
        </w:rPr>
        <w:t xml:space="preserve">his actual </w:t>
      </w:r>
      <w:r w:rsidR="00730070">
        <w:rPr>
          <w:rFonts w:eastAsia="Calibri"/>
        </w:rPr>
        <w:t xml:space="preserve">dismissal and so fell within the terms of </w:t>
      </w:r>
      <w:r w:rsidR="000002A6">
        <w:rPr>
          <w:rFonts w:eastAsia="Calibri"/>
        </w:rPr>
        <w:t xml:space="preserve">the </w:t>
      </w:r>
      <w:r w:rsidR="00ED1844">
        <w:rPr>
          <w:rFonts w:eastAsia="Calibri"/>
        </w:rPr>
        <w:t>sub-section</w:t>
      </w:r>
      <w:r w:rsidR="00360D11">
        <w:rPr>
          <w:rFonts w:eastAsia="Calibri"/>
        </w:rPr>
        <w:t>.</w:t>
      </w:r>
      <w:r w:rsidR="000002A6">
        <w:rPr>
          <w:rFonts w:eastAsia="Calibri"/>
        </w:rPr>
        <w:t xml:space="preserve"> </w:t>
      </w:r>
      <w:r w:rsidR="00AD7CEE">
        <w:rPr>
          <w:rFonts w:eastAsia="Calibri"/>
        </w:rPr>
        <w:t xml:space="preserve">  </w:t>
      </w:r>
    </w:p>
    <w:p w:rsidR="00C14378" w:rsidRDefault="005D1CA3" w:rsidP="00763FDB">
      <w:pPr>
        <w:pStyle w:val="ParaLevel1"/>
        <w:rPr>
          <w:rFonts w:eastAsia="Calibri"/>
        </w:rPr>
      </w:pPr>
      <w:r>
        <w:rPr>
          <w:rFonts w:eastAsia="Calibri"/>
        </w:rPr>
        <w:t xml:space="preserve">I </w:t>
      </w:r>
      <w:r w:rsidR="00DD4431">
        <w:rPr>
          <w:rFonts w:eastAsia="Calibri"/>
        </w:rPr>
        <w:t>agree that the question whether a detriment relied on by a claimant “amounts to dismissal” should be treated as one of substance rather than form</w:t>
      </w:r>
      <w:r w:rsidR="008243DA">
        <w:rPr>
          <w:rFonts w:eastAsia="Calibri"/>
        </w:rPr>
        <w:t>.</w:t>
      </w:r>
      <w:r w:rsidR="00814355">
        <w:rPr>
          <w:rFonts w:eastAsia="Calibri"/>
        </w:rPr>
        <w:t xml:space="preserve"> </w:t>
      </w:r>
      <w:r w:rsidR="008243DA">
        <w:rPr>
          <w:rFonts w:eastAsia="Calibri"/>
        </w:rPr>
        <w:t xml:space="preserve">I further agree that, </w:t>
      </w:r>
      <w:r w:rsidR="00F34EE2">
        <w:rPr>
          <w:rFonts w:eastAsia="Calibri"/>
        </w:rPr>
        <w:t>although the ET’s findings as to the governance arrangements within IPL were unsatisfactory</w:t>
      </w:r>
      <w:r w:rsidR="000B62AB">
        <w:rPr>
          <w:rFonts w:eastAsia="Calibri"/>
        </w:rPr>
        <w:t xml:space="preserve">, it seems that Mr Timis had by one route or another the authority to dismiss </w:t>
      </w:r>
      <w:r w:rsidR="008243DA">
        <w:rPr>
          <w:rFonts w:eastAsia="Calibri"/>
        </w:rPr>
        <w:t xml:space="preserve">the Claimant and that Mr Sage </w:t>
      </w:r>
      <w:r w:rsidR="00BF5120">
        <w:rPr>
          <w:rFonts w:eastAsia="Calibri"/>
        </w:rPr>
        <w:t>could or would not have done so on his own;</w:t>
      </w:r>
      <w:r w:rsidR="008243DA">
        <w:rPr>
          <w:rFonts w:eastAsia="Calibri"/>
        </w:rPr>
        <w:t xml:space="preserve"> in which case I </w:t>
      </w:r>
      <w:r w:rsidR="00F34EE2">
        <w:rPr>
          <w:rFonts w:eastAsia="Calibri"/>
        </w:rPr>
        <w:t xml:space="preserve">think </w:t>
      </w:r>
      <w:r w:rsidR="00AE0F47">
        <w:rPr>
          <w:rFonts w:eastAsia="Calibri"/>
        </w:rPr>
        <w:t>Mr Stilitz must be</w:t>
      </w:r>
      <w:r w:rsidR="00F34EE2">
        <w:rPr>
          <w:rFonts w:eastAsia="Calibri"/>
        </w:rPr>
        <w:t xml:space="preserve"> right </w:t>
      </w:r>
      <w:r w:rsidR="00AE0F47">
        <w:rPr>
          <w:rFonts w:eastAsia="Calibri"/>
        </w:rPr>
        <w:t>that it is artificial to treat “detriment (m)” as distinct from the dismissal.</w:t>
      </w:r>
      <w:r w:rsidR="00ED1844">
        <w:rPr>
          <w:rFonts w:eastAsia="Calibri"/>
        </w:rPr>
        <w:t xml:space="preserve">  There will, as Mr Stilitz acknowledged, be cases where</w:t>
      </w:r>
      <w:r w:rsidR="00AE0F47">
        <w:rPr>
          <w:rFonts w:eastAsia="Calibri"/>
        </w:rPr>
        <w:t xml:space="preserve"> </w:t>
      </w:r>
      <w:r w:rsidR="002B06E5">
        <w:rPr>
          <w:rFonts w:eastAsia="Calibri"/>
        </w:rPr>
        <w:t xml:space="preserve">it will not be easy to draw the line between </w:t>
      </w:r>
      <w:r w:rsidR="00D95896">
        <w:rPr>
          <w:rFonts w:eastAsia="Calibri"/>
        </w:rPr>
        <w:t xml:space="preserve">a </w:t>
      </w:r>
      <w:r w:rsidR="00DB143C">
        <w:rPr>
          <w:rFonts w:eastAsia="Calibri"/>
        </w:rPr>
        <w:t xml:space="preserve">step taken in the </w:t>
      </w:r>
      <w:r w:rsidR="002B06E5">
        <w:rPr>
          <w:rFonts w:eastAsia="Calibri"/>
        </w:rPr>
        <w:t xml:space="preserve">process leading </w:t>
      </w:r>
      <w:r w:rsidR="00DB143C">
        <w:rPr>
          <w:rFonts w:eastAsia="Calibri"/>
        </w:rPr>
        <w:t xml:space="preserve">to the dismissal </w:t>
      </w:r>
      <w:r w:rsidR="002B06E5">
        <w:rPr>
          <w:rFonts w:eastAsia="Calibri"/>
        </w:rPr>
        <w:t>and</w:t>
      </w:r>
      <w:r w:rsidR="00D95896">
        <w:rPr>
          <w:rFonts w:eastAsia="Calibri"/>
        </w:rPr>
        <w:t xml:space="preserve"> the dismissal </w:t>
      </w:r>
      <w:r w:rsidR="002B06E5">
        <w:rPr>
          <w:rFonts w:eastAsia="Calibri"/>
        </w:rPr>
        <w:t>itself</w:t>
      </w:r>
      <w:r w:rsidR="00651ED0">
        <w:rPr>
          <w:rFonts w:eastAsia="Calibri"/>
        </w:rPr>
        <w:t>, but this does not seem to be one of them.</w:t>
      </w:r>
      <w:r w:rsidR="00AE0F47">
        <w:rPr>
          <w:rFonts w:eastAsia="Calibri"/>
        </w:rPr>
        <w:t xml:space="preserve"> </w:t>
      </w:r>
    </w:p>
    <w:p w:rsidR="0091477C" w:rsidRPr="00532E56" w:rsidRDefault="00023C25" w:rsidP="00763FDB">
      <w:pPr>
        <w:pStyle w:val="ParaLevel1"/>
        <w:rPr>
          <w:rFonts w:eastAsia="Calibri"/>
        </w:rPr>
      </w:pPr>
      <w:r>
        <w:rPr>
          <w:rFonts w:eastAsia="Calibri"/>
        </w:rPr>
        <w:t>However</w:t>
      </w:r>
      <w:r w:rsidR="00C14378">
        <w:rPr>
          <w:rFonts w:eastAsia="Calibri"/>
        </w:rPr>
        <w:t xml:space="preserve">, </w:t>
      </w:r>
      <w:r w:rsidR="00E4023C">
        <w:rPr>
          <w:rFonts w:eastAsia="Calibri"/>
        </w:rPr>
        <w:t>that only gets Mr Stilitz to first base.  A</w:t>
      </w:r>
      <w:r w:rsidR="00C14378">
        <w:rPr>
          <w:rFonts w:eastAsia="Calibri"/>
        </w:rPr>
        <w:t>lthough</w:t>
      </w:r>
      <w:r>
        <w:rPr>
          <w:rFonts w:eastAsia="Calibri"/>
        </w:rPr>
        <w:t xml:space="preserve"> Mr Carr</w:t>
      </w:r>
      <w:r w:rsidR="00C14378">
        <w:rPr>
          <w:rFonts w:eastAsia="Calibri"/>
        </w:rPr>
        <w:t xml:space="preserve"> made no concessions on </w:t>
      </w:r>
      <w:r w:rsidR="009D1E43">
        <w:rPr>
          <w:rFonts w:eastAsia="Calibri"/>
        </w:rPr>
        <w:t>the question whether t</w:t>
      </w:r>
      <w:r w:rsidR="00E23289">
        <w:rPr>
          <w:rFonts w:eastAsia="Calibri"/>
        </w:rPr>
        <w:t>he plead</w:t>
      </w:r>
      <w:r w:rsidR="009D1E43">
        <w:rPr>
          <w:rFonts w:eastAsia="Calibri"/>
        </w:rPr>
        <w:t xml:space="preserve">ed </w:t>
      </w:r>
      <w:r w:rsidR="00BF5120">
        <w:rPr>
          <w:rFonts w:eastAsia="Calibri"/>
        </w:rPr>
        <w:t>“</w:t>
      </w:r>
      <w:r w:rsidR="009D1E43">
        <w:rPr>
          <w:rFonts w:eastAsia="Calibri"/>
        </w:rPr>
        <w:t>instruction/recommendation</w:t>
      </w:r>
      <w:r w:rsidR="00BF5120">
        <w:rPr>
          <w:rFonts w:eastAsia="Calibri"/>
        </w:rPr>
        <w:t>”</w:t>
      </w:r>
      <w:r w:rsidR="009D1E43">
        <w:rPr>
          <w:rFonts w:eastAsia="Calibri"/>
        </w:rPr>
        <w:t xml:space="preserve"> </w:t>
      </w:r>
      <w:r w:rsidR="009A03AA">
        <w:rPr>
          <w:rFonts w:eastAsia="Calibri"/>
        </w:rPr>
        <w:t>amount</w:t>
      </w:r>
      <w:r w:rsidR="009D1E43">
        <w:rPr>
          <w:rFonts w:eastAsia="Calibri"/>
        </w:rPr>
        <w:t>ed</w:t>
      </w:r>
      <w:r w:rsidR="00D35CC1">
        <w:rPr>
          <w:rFonts w:eastAsia="Calibri"/>
        </w:rPr>
        <w:t xml:space="preserve"> to</w:t>
      </w:r>
      <w:r w:rsidR="009A03AA">
        <w:rPr>
          <w:rFonts w:eastAsia="Calibri"/>
        </w:rPr>
        <w:t xml:space="preserve"> </w:t>
      </w:r>
      <w:r w:rsidR="009F7AEB">
        <w:rPr>
          <w:rFonts w:eastAsia="Calibri"/>
        </w:rPr>
        <w:t>dismissal</w:t>
      </w:r>
      <w:r w:rsidR="009D1E43">
        <w:rPr>
          <w:rFonts w:eastAsia="Calibri"/>
        </w:rPr>
        <w:t>, his primary case</w:t>
      </w:r>
      <w:r w:rsidR="000B2356">
        <w:rPr>
          <w:rFonts w:eastAsia="Calibri"/>
        </w:rPr>
        <w:t xml:space="preserve">, </w:t>
      </w:r>
      <w:r w:rsidR="00EF2424">
        <w:rPr>
          <w:rFonts w:eastAsia="Calibri"/>
        </w:rPr>
        <w:t>supported by</w:t>
      </w:r>
      <w:r w:rsidR="000B2356">
        <w:rPr>
          <w:rFonts w:eastAsia="Calibri"/>
        </w:rPr>
        <w:t xml:space="preserve"> Ms </w:t>
      </w:r>
      <w:r w:rsidR="00EF2424">
        <w:rPr>
          <w:rFonts w:eastAsia="Calibri"/>
        </w:rPr>
        <w:t>Jolly for</w:t>
      </w:r>
      <w:r w:rsidR="000B2356">
        <w:rPr>
          <w:rFonts w:eastAsia="Calibri"/>
        </w:rPr>
        <w:t xml:space="preserve"> Pro</w:t>
      </w:r>
      <w:r w:rsidR="00EF2424">
        <w:rPr>
          <w:rFonts w:eastAsia="Calibri"/>
        </w:rPr>
        <w:t>tect</w:t>
      </w:r>
      <w:r w:rsidR="007B22DA">
        <w:rPr>
          <w:rFonts w:eastAsia="Calibri"/>
        </w:rPr>
        <w:t>,</w:t>
      </w:r>
      <w:r w:rsidR="009D1E43">
        <w:rPr>
          <w:rFonts w:eastAsia="Calibri"/>
        </w:rPr>
        <w:t xml:space="preserve"> was that</w:t>
      </w:r>
      <w:r w:rsidR="00651ED0">
        <w:rPr>
          <w:rFonts w:eastAsia="Calibri"/>
        </w:rPr>
        <w:t xml:space="preserve"> </w:t>
      </w:r>
      <w:r w:rsidR="009F7AEB">
        <w:rPr>
          <w:rFonts w:eastAsia="Calibri"/>
        </w:rPr>
        <w:t xml:space="preserve">section 47B (2) </w:t>
      </w:r>
      <w:r w:rsidR="00D50AE9">
        <w:rPr>
          <w:rFonts w:eastAsia="Calibri"/>
        </w:rPr>
        <w:t xml:space="preserve">would </w:t>
      </w:r>
      <w:r w:rsidR="0023082A">
        <w:rPr>
          <w:rFonts w:eastAsia="Calibri"/>
        </w:rPr>
        <w:t xml:space="preserve">in any event </w:t>
      </w:r>
      <w:r w:rsidR="00D50AE9">
        <w:rPr>
          <w:rFonts w:eastAsia="Calibri"/>
        </w:rPr>
        <w:t>still</w:t>
      </w:r>
      <w:r w:rsidR="009F7AEB">
        <w:rPr>
          <w:rFonts w:eastAsia="Calibri"/>
        </w:rPr>
        <w:t xml:space="preserve"> not</w:t>
      </w:r>
      <w:r w:rsidR="00D50AE9">
        <w:rPr>
          <w:rFonts w:eastAsia="Calibri"/>
        </w:rPr>
        <w:t xml:space="preserve"> apply to the claim </w:t>
      </w:r>
      <w:r w:rsidR="00BD41BD" w:rsidRPr="00BD41BD">
        <w:rPr>
          <w:rFonts w:eastAsia="Calibri"/>
          <w:i/>
        </w:rPr>
        <w:t>as against the Appellants</w:t>
      </w:r>
      <w:r w:rsidR="00A460EF">
        <w:rPr>
          <w:rFonts w:eastAsia="Calibri"/>
        </w:rPr>
        <w:t xml:space="preserve"> (</w:t>
      </w:r>
      <w:r w:rsidR="007B22DA">
        <w:rPr>
          <w:rFonts w:eastAsia="Calibri"/>
        </w:rPr>
        <w:t>as opposed to IPL</w:t>
      </w:r>
      <w:r w:rsidR="00A460EF">
        <w:rPr>
          <w:rFonts w:eastAsia="Calibri"/>
        </w:rPr>
        <w:t>)</w:t>
      </w:r>
      <w:r w:rsidR="007B22DA">
        <w:rPr>
          <w:rFonts w:eastAsia="Calibri"/>
        </w:rPr>
        <w:t xml:space="preserve">.  His argument depended </w:t>
      </w:r>
      <w:r w:rsidR="00E4023C">
        <w:rPr>
          <w:rFonts w:eastAsia="Calibri"/>
        </w:rPr>
        <w:t>on the fact</w:t>
      </w:r>
      <w:r w:rsidR="00BD41BD">
        <w:rPr>
          <w:rFonts w:eastAsia="Calibri"/>
        </w:rPr>
        <w:t xml:space="preserve"> that s</w:t>
      </w:r>
      <w:r w:rsidR="00C846E4">
        <w:rPr>
          <w:rFonts w:eastAsia="Calibri"/>
        </w:rPr>
        <w:t>ection 47B</w:t>
      </w:r>
      <w:r w:rsidR="0056075D">
        <w:rPr>
          <w:rFonts w:eastAsia="Calibri"/>
        </w:rPr>
        <w:t xml:space="preserve"> (2) does not refer simply to </w:t>
      </w:r>
      <w:r w:rsidR="00834BDF">
        <w:rPr>
          <w:rFonts w:eastAsia="Calibri"/>
        </w:rPr>
        <w:t>“</w:t>
      </w:r>
      <w:r w:rsidR="00C846E4">
        <w:rPr>
          <w:rFonts w:eastAsia="Calibri"/>
        </w:rPr>
        <w:t>dismissal</w:t>
      </w:r>
      <w:r w:rsidR="00834BDF">
        <w:rPr>
          <w:rFonts w:eastAsia="Calibri"/>
        </w:rPr>
        <w:t>”</w:t>
      </w:r>
      <w:r w:rsidR="00C836C4">
        <w:rPr>
          <w:rFonts w:eastAsia="Calibri"/>
        </w:rPr>
        <w:t xml:space="preserve"> but to </w:t>
      </w:r>
      <w:r w:rsidR="00834BDF">
        <w:rPr>
          <w:rFonts w:eastAsia="Calibri"/>
        </w:rPr>
        <w:t>“</w:t>
      </w:r>
      <w:r w:rsidR="00C836C4">
        <w:rPr>
          <w:rFonts w:eastAsia="Calibri"/>
        </w:rPr>
        <w:t xml:space="preserve">dismissal </w:t>
      </w:r>
      <w:r w:rsidR="00834BDF">
        <w:rPr>
          <w:rFonts w:eastAsia="Calibri"/>
        </w:rPr>
        <w:t>(</w:t>
      </w:r>
      <w:r w:rsidR="00C846E4" w:rsidRPr="0023082A">
        <w:rPr>
          <w:rFonts w:eastAsia="Calibri"/>
        </w:rPr>
        <w:t>within the meani</w:t>
      </w:r>
      <w:r w:rsidR="00B30746" w:rsidRPr="0023082A">
        <w:rPr>
          <w:rFonts w:eastAsia="Calibri"/>
        </w:rPr>
        <w:t>n</w:t>
      </w:r>
      <w:r w:rsidR="00C846E4" w:rsidRPr="0023082A">
        <w:rPr>
          <w:rFonts w:eastAsia="Calibri"/>
        </w:rPr>
        <w:t>g</w:t>
      </w:r>
      <w:r w:rsidR="00B30746" w:rsidRPr="0023082A">
        <w:rPr>
          <w:rFonts w:eastAsia="Calibri"/>
        </w:rPr>
        <w:t xml:space="preserve"> of Part X</w:t>
      </w:r>
      <w:r w:rsidR="00834BDF">
        <w:rPr>
          <w:rFonts w:eastAsia="Calibri"/>
        </w:rPr>
        <w:t>)</w:t>
      </w:r>
      <w:r w:rsidR="00BF5120">
        <w:rPr>
          <w:rFonts w:eastAsia="Calibri"/>
        </w:rPr>
        <w:t>”</w:t>
      </w:r>
      <w:r w:rsidR="00264BBC">
        <w:rPr>
          <w:rFonts w:eastAsia="Calibri"/>
        </w:rPr>
        <w:t xml:space="preserve">.  </w:t>
      </w:r>
      <w:r w:rsidR="007B22DA">
        <w:rPr>
          <w:rFonts w:eastAsia="Calibri"/>
        </w:rPr>
        <w:t>He pointed out that t</w:t>
      </w:r>
      <w:r w:rsidR="00C836C4">
        <w:rPr>
          <w:rFonts w:eastAsia="Calibri"/>
        </w:rPr>
        <w:t>h</w:t>
      </w:r>
      <w:r w:rsidR="009A03AA">
        <w:rPr>
          <w:rFonts w:eastAsia="Calibri"/>
        </w:rPr>
        <w:t xml:space="preserve">e right conferred by Part X </w:t>
      </w:r>
      <w:r w:rsidR="00C836C4">
        <w:rPr>
          <w:rFonts w:eastAsia="Calibri"/>
        </w:rPr>
        <w:t xml:space="preserve">is a right only against the employer. </w:t>
      </w:r>
      <w:r w:rsidR="008E0AC2">
        <w:rPr>
          <w:rFonts w:eastAsia="Calibri"/>
        </w:rPr>
        <w:t xml:space="preserve"> T</w:t>
      </w:r>
      <w:r w:rsidR="00C00841">
        <w:rPr>
          <w:rFonts w:eastAsia="Calibri"/>
        </w:rPr>
        <w:t>he language of the key p</w:t>
      </w:r>
      <w:r w:rsidR="009F784E">
        <w:rPr>
          <w:rFonts w:eastAsia="Calibri"/>
        </w:rPr>
        <w:t>rovisions is explicit: s</w:t>
      </w:r>
      <w:r w:rsidR="00C00841">
        <w:rPr>
          <w:rFonts w:eastAsia="Calibri"/>
        </w:rPr>
        <w:t>ection 94 (1) refers to an employee being dismissed “</w:t>
      </w:r>
      <w:r w:rsidR="00C00841" w:rsidRPr="007560AE">
        <w:rPr>
          <w:shd w:val="clear" w:color="auto" w:fill="FFFFFF"/>
        </w:rPr>
        <w:t>by his employer</w:t>
      </w:r>
      <w:r w:rsidR="00C00841">
        <w:rPr>
          <w:shd w:val="clear" w:color="auto" w:fill="FFFFFF"/>
        </w:rPr>
        <w:t xml:space="preserve">”, </w:t>
      </w:r>
      <w:r w:rsidR="00C00841">
        <w:rPr>
          <w:rFonts w:eastAsia="Calibri"/>
        </w:rPr>
        <w:t>and the same language is use</w:t>
      </w:r>
      <w:r w:rsidR="00834BDF">
        <w:rPr>
          <w:rFonts w:eastAsia="Calibri"/>
        </w:rPr>
        <w:t>d in section 95 (1) (see para. 8</w:t>
      </w:r>
      <w:r w:rsidR="00C00841">
        <w:rPr>
          <w:rFonts w:eastAsia="Calibri"/>
        </w:rPr>
        <w:t xml:space="preserve"> above).  </w:t>
      </w:r>
      <w:r w:rsidR="009F784E">
        <w:rPr>
          <w:rFonts w:eastAsia="Calibri"/>
        </w:rPr>
        <w:t xml:space="preserve">Thus what section 47B (2) </w:t>
      </w:r>
      <w:r w:rsidR="001741CC">
        <w:rPr>
          <w:rFonts w:eastAsia="Calibri"/>
        </w:rPr>
        <w:t>excludes is a claim</w:t>
      </w:r>
      <w:r w:rsidR="00385385">
        <w:rPr>
          <w:rFonts w:eastAsia="Calibri"/>
        </w:rPr>
        <w:t xml:space="preserve"> </w:t>
      </w:r>
      <w:r w:rsidR="00834BDF" w:rsidRPr="00BF5120">
        <w:rPr>
          <w:rFonts w:eastAsia="Calibri"/>
          <w:i/>
        </w:rPr>
        <w:t>against the employer</w:t>
      </w:r>
      <w:r w:rsidR="00834BDF">
        <w:rPr>
          <w:rFonts w:eastAsia="Calibri"/>
        </w:rPr>
        <w:t xml:space="preserve"> </w:t>
      </w:r>
      <w:r w:rsidR="00BF5120">
        <w:rPr>
          <w:rFonts w:eastAsia="Calibri"/>
        </w:rPr>
        <w:t>for dismissing the claimant (on whistleblower grounds)</w:t>
      </w:r>
      <w:r w:rsidR="000801FD">
        <w:rPr>
          <w:rFonts w:eastAsia="Calibri"/>
        </w:rPr>
        <w:t>,</w:t>
      </w:r>
      <w:r w:rsidR="000043AF">
        <w:rPr>
          <w:rFonts w:eastAsia="Calibri"/>
        </w:rPr>
        <w:t xml:space="preserve"> </w:t>
      </w:r>
      <w:r w:rsidR="00385385">
        <w:rPr>
          <w:rFonts w:eastAsia="Calibri"/>
        </w:rPr>
        <w:t xml:space="preserve">and a complaint under </w:t>
      </w:r>
      <w:r w:rsidR="001741CC">
        <w:rPr>
          <w:rFonts w:eastAsia="Calibri"/>
        </w:rPr>
        <w:t>sub-section (1A)</w:t>
      </w:r>
      <w:r w:rsidR="00BF5120">
        <w:rPr>
          <w:rFonts w:eastAsia="Calibri"/>
        </w:rPr>
        <w:t xml:space="preserve"> against an</w:t>
      </w:r>
      <w:r w:rsidR="00385385">
        <w:rPr>
          <w:rFonts w:eastAsia="Calibri"/>
        </w:rPr>
        <w:t xml:space="preserve"> individual </w:t>
      </w:r>
      <w:r w:rsidR="009408A6">
        <w:rPr>
          <w:rFonts w:eastAsia="Calibri"/>
        </w:rPr>
        <w:t xml:space="preserve">who </w:t>
      </w:r>
      <w:r w:rsidR="00BF5120">
        <w:rPr>
          <w:rFonts w:eastAsia="Calibri"/>
        </w:rPr>
        <w:t>is a party to</w:t>
      </w:r>
      <w:r w:rsidR="009F784E">
        <w:rPr>
          <w:rFonts w:eastAsia="Calibri"/>
        </w:rPr>
        <w:t xml:space="preserve"> </w:t>
      </w:r>
      <w:r w:rsidR="009408A6">
        <w:rPr>
          <w:rFonts w:eastAsia="Calibri"/>
        </w:rPr>
        <w:t xml:space="preserve">the dismissal </w:t>
      </w:r>
      <w:r w:rsidR="00BF5120">
        <w:rPr>
          <w:rFonts w:eastAsia="Calibri"/>
        </w:rPr>
        <w:t xml:space="preserve">decision </w:t>
      </w:r>
      <w:r w:rsidR="009408A6">
        <w:rPr>
          <w:rFonts w:eastAsia="Calibri"/>
        </w:rPr>
        <w:t xml:space="preserve">falls outside its scope.  </w:t>
      </w:r>
      <w:r w:rsidR="00617B5E">
        <w:rPr>
          <w:rFonts w:eastAsia="Calibri"/>
        </w:rPr>
        <w:t xml:space="preserve">He </w:t>
      </w:r>
      <w:r w:rsidR="009576E1">
        <w:rPr>
          <w:rFonts w:eastAsia="Calibri"/>
        </w:rPr>
        <w:t xml:space="preserve">and Ms Jolly </w:t>
      </w:r>
      <w:r w:rsidR="00897AC2">
        <w:rPr>
          <w:rFonts w:eastAsia="Calibri"/>
        </w:rPr>
        <w:t xml:space="preserve">submitted that that construction </w:t>
      </w:r>
      <w:r w:rsidR="0055453E">
        <w:rPr>
          <w:rFonts w:eastAsia="Calibri"/>
        </w:rPr>
        <w:t xml:space="preserve">accorded with the policy behind </w:t>
      </w:r>
      <w:r w:rsidR="00F22797">
        <w:rPr>
          <w:rFonts w:eastAsia="Calibri"/>
        </w:rPr>
        <w:t>section 47B (2) and its cognates</w:t>
      </w:r>
      <w:r w:rsidR="00A54DCB">
        <w:rPr>
          <w:rFonts w:eastAsia="Calibri"/>
        </w:rPr>
        <w:t xml:space="preserve"> and that </w:t>
      </w:r>
      <w:r w:rsidR="00D43C7F">
        <w:rPr>
          <w:rFonts w:eastAsia="Calibri"/>
        </w:rPr>
        <w:t xml:space="preserve">the exclusion of individual liability in a case where the detriment amounted to dismissal would produce serious anomalies.  I </w:t>
      </w:r>
      <w:r w:rsidR="002E67E6">
        <w:rPr>
          <w:rFonts w:eastAsia="Calibri"/>
        </w:rPr>
        <w:t>need not summarise their submissions more fully at</w:t>
      </w:r>
      <w:r w:rsidR="00763CFD">
        <w:rPr>
          <w:rFonts w:eastAsia="Calibri"/>
        </w:rPr>
        <w:t xml:space="preserve"> this stage</w:t>
      </w:r>
      <w:r w:rsidR="00532E56">
        <w:rPr>
          <w:rFonts w:eastAsia="Calibri"/>
        </w:rPr>
        <w:t xml:space="preserve">. </w:t>
      </w:r>
    </w:p>
    <w:p w:rsidR="00DA4D6A" w:rsidRDefault="000969E4" w:rsidP="00763FDB">
      <w:pPr>
        <w:pStyle w:val="ParaLevel1"/>
        <w:rPr>
          <w:rFonts w:eastAsia="Calibri"/>
        </w:rPr>
      </w:pPr>
      <w:r>
        <w:rPr>
          <w:rFonts w:eastAsia="Calibri"/>
        </w:rPr>
        <w:t xml:space="preserve">That was essentially the case that Simler P accepted in the EAT.  </w:t>
      </w:r>
      <w:r w:rsidR="00532E56">
        <w:rPr>
          <w:rFonts w:eastAsia="Calibri"/>
        </w:rPr>
        <w:t xml:space="preserve">I should set </w:t>
      </w:r>
      <w:r>
        <w:rPr>
          <w:rFonts w:eastAsia="Calibri"/>
        </w:rPr>
        <w:t xml:space="preserve">out in full </w:t>
      </w:r>
      <w:r w:rsidR="00F36953">
        <w:rPr>
          <w:rFonts w:eastAsia="Calibri"/>
        </w:rPr>
        <w:t>the</w:t>
      </w:r>
      <w:r>
        <w:rPr>
          <w:rFonts w:eastAsia="Calibri"/>
        </w:rPr>
        <w:t xml:space="preserve"> </w:t>
      </w:r>
      <w:r w:rsidR="00F36953">
        <w:rPr>
          <w:rFonts w:eastAsia="Calibri"/>
        </w:rPr>
        <w:t xml:space="preserve">reasoning </w:t>
      </w:r>
      <w:r w:rsidR="00277D42">
        <w:rPr>
          <w:rFonts w:eastAsia="Calibri"/>
        </w:rPr>
        <w:t xml:space="preserve">at paras. </w:t>
      </w:r>
      <w:r w:rsidR="00EA6304">
        <w:rPr>
          <w:rFonts w:eastAsia="Calibri"/>
        </w:rPr>
        <w:t>153-158</w:t>
      </w:r>
      <w:r w:rsidR="00DA4D6A">
        <w:rPr>
          <w:rFonts w:eastAsia="Calibri"/>
        </w:rPr>
        <w:t xml:space="preserve"> of her judgment:</w:t>
      </w:r>
    </w:p>
    <w:p w:rsidR="00923288" w:rsidRPr="00923288" w:rsidRDefault="0090119F" w:rsidP="00763FDB">
      <w:pPr>
        <w:pStyle w:val="ParaLevel1"/>
        <w:numPr>
          <w:ilvl w:val="0"/>
          <w:numId w:val="0"/>
        </w:numPr>
        <w:ind w:left="1418" w:right="828"/>
      </w:pPr>
      <w:r>
        <w:t>“</w:t>
      </w:r>
      <w:r w:rsidR="00923288" w:rsidRPr="00923288">
        <w:t>153.</w:t>
      </w:r>
      <w:r w:rsidR="00923288" w:rsidRPr="00923288">
        <w:rPr>
          <w:sz w:val="14"/>
          <w:szCs w:val="14"/>
        </w:rPr>
        <w:t>          </w:t>
      </w:r>
      <w:r w:rsidR="00923288" w:rsidRPr="00923288">
        <w:t> </w:t>
      </w:r>
      <w:r w:rsidR="00923288">
        <w:t xml:space="preserve">…  </w:t>
      </w:r>
      <w:r w:rsidR="00923288" w:rsidRPr="00923288">
        <w:t>The express purpose of the whistleblowing legislation is to protect individuals from victimisation.  In its amended form, the legislation provides employees and workers with protection from the prohibited acts and deliberate omissions of employers and fellow workers or agents of the employer.  That being the mischief at which the legislation is directed, it is appropriate to construe this provision, so far as it can properly be construed, to provide protection, rather than deny it.</w:t>
      </w:r>
    </w:p>
    <w:p w:rsidR="00923288" w:rsidRPr="00923288" w:rsidRDefault="00923288" w:rsidP="00763FDB">
      <w:pPr>
        <w:pStyle w:val="ParaLevel1"/>
        <w:numPr>
          <w:ilvl w:val="0"/>
          <w:numId w:val="0"/>
        </w:numPr>
        <w:ind w:left="1418" w:right="828"/>
      </w:pPr>
      <w:r w:rsidRPr="00923288">
        <w:t>154.</w:t>
      </w:r>
      <w:r w:rsidRPr="00923288">
        <w:rPr>
          <w:sz w:val="14"/>
          <w:szCs w:val="14"/>
        </w:rPr>
        <w:t>          </w:t>
      </w:r>
      <w:r w:rsidRPr="00923288">
        <w:t>The starting point is to construe all the words used in light of that intended purpose, including the words in brackets in s.47B(2)(b) which qualify the extent of the disapplication.  The provision does not seek to exclude all claims for detriment amounting to dismissal as it could have done.  Rather, Parliament has chosen to limit the disapplication to those detriments amounting to dismissal within the meaning of Part X; in other words, to detriments amounting to unfair dismissal claims necessarily against the employer.  The effect of Mr Forshaw’s submissions is to ignore the words in brackets, which are redundant on his approach.</w:t>
      </w:r>
    </w:p>
    <w:p w:rsidR="00923288" w:rsidRPr="00923288" w:rsidRDefault="00923288" w:rsidP="00763FDB">
      <w:pPr>
        <w:pStyle w:val="ParaLevel1"/>
        <w:numPr>
          <w:ilvl w:val="0"/>
          <w:numId w:val="0"/>
        </w:numPr>
        <w:ind w:left="1418" w:right="828"/>
      </w:pPr>
      <w:r w:rsidRPr="00923288">
        <w:t>155.</w:t>
      </w:r>
      <w:r w:rsidRPr="00923288">
        <w:rPr>
          <w:sz w:val="14"/>
          <w:szCs w:val="14"/>
        </w:rPr>
        <w:t>          </w:t>
      </w:r>
      <w:r w:rsidRPr="00923288">
        <w:t>Furthermore, there is nothing in the express words of s.47B(2) that relieves a fellow worker or agent of his or her liability for a detriment amounting to dismissal not within the meaning of Part X.  The distinction drawn by s.47B(2) turns on whether or not the detriment in question amounts to an unfair dismissal claim (because it is within the meaning of Part X) which must necessarily be brought against the employer.  It maintains the distinction between claims against the employer of detriment other than dismissal falling under Part V, and claims for detriment amounting to dismissal within the meaning of Part X, which can only be pursued under s.103A in Part X.  These claims are mutually exclusive.  However, just as a worker who is not an employee has always been able to pursue detriment claims against the employer where the detriment in question amounts to dismissal (but cannot be pursued under Part X because the worker is not an employee) under s.47B in Part V, the amendments to s.47B introduced by the ERRA create a framework for individual liability of a fellow worker for detriments without restriction.  There is nothing in the wording of s.47(B)(1A) that limits the detriments caught by the provision or that excludes from individual liability detriments amounting to termination of the working relationship.</w:t>
      </w:r>
    </w:p>
    <w:p w:rsidR="00923288" w:rsidRPr="00923288" w:rsidRDefault="00923288" w:rsidP="00763FDB">
      <w:pPr>
        <w:pStyle w:val="ParaLevel1"/>
        <w:numPr>
          <w:ilvl w:val="0"/>
          <w:numId w:val="0"/>
        </w:numPr>
        <w:ind w:left="1418" w:right="828"/>
      </w:pPr>
      <w:r w:rsidRPr="00923288">
        <w:t>156.</w:t>
      </w:r>
      <w:r w:rsidRPr="00923288">
        <w:rPr>
          <w:sz w:val="14"/>
          <w:szCs w:val="14"/>
        </w:rPr>
        <w:t>          </w:t>
      </w:r>
      <w:r w:rsidRPr="00923288">
        <w:t>This construction does not strain the meaning of the legislation, and to my mind creates a coherent approach.  It puts employees in the same position as workers who never lose their right to make claims against individuals for detriments amounting to dismissal and ensures that employees are given the same protection as workers who are subjected to the most serious detriments and not put in a worse position than those workers.  It is likely to be an unusual case where an employee will wish to pursue a claim and seek a remedy against a fellow worker for a whistleblowing detriment amounting to dismissal, rather than pursuing the claim against the employer, but I can see no principled reason for excluding it.</w:t>
      </w:r>
    </w:p>
    <w:p w:rsidR="00923288" w:rsidRPr="00923288" w:rsidRDefault="00923288" w:rsidP="00763FDB">
      <w:pPr>
        <w:pStyle w:val="ParaLevel1"/>
        <w:numPr>
          <w:ilvl w:val="0"/>
          <w:numId w:val="0"/>
        </w:numPr>
        <w:ind w:left="1418" w:right="828"/>
      </w:pPr>
      <w:r w:rsidRPr="00923288">
        <w:t>157.</w:t>
      </w:r>
      <w:r w:rsidRPr="00923288">
        <w:rPr>
          <w:sz w:val="14"/>
          <w:szCs w:val="14"/>
        </w:rPr>
        <w:t>          </w:t>
      </w:r>
      <w:r w:rsidRPr="00923288">
        <w:t xml:space="preserve">Nor is there a principled reason for making fellow-workers personally liable for losses caused by detriments short of dismissal but relieving them from individual liability for the consequences of what are likely to be the most serious detriments (such as an instruction or a recommendation that the complainant’s employment or contract be terminated) and that have the potential to cause the most substantial losses.  Although the statutory framework for victimisation based on protected disclosures and the anti-discrimination legislation in the Equality Act is different, given that Parliament decided that individuals should have unlimited liability for all aspects of unlawful discriminatory treatment under the Equality Act, I cannot see any rational basis for a difference in approach to whistleblowing claims that means fellow workers or agents should be protected from liability for the consequences of the most serious detriments to which they subject others.  The scheme of compensation under Part V is in more or less identical terms to that provided for in relation to </w:t>
      </w:r>
      <w:r w:rsidR="00910E43">
        <w:t>Part X claims (compare s.49(2)-</w:t>
      </w:r>
      <w:r w:rsidRPr="00923288">
        <w:t>(6A</w:t>
      </w:r>
      <w:r w:rsidR="00910E43">
        <w:t>) with s.123(1)-</w:t>
      </w:r>
      <w:r w:rsidR="00BF2DDC">
        <w:t xml:space="preserve">(6A)).  The </w:t>
      </w:r>
      <w:r w:rsidR="00BF5120">
        <w:t>‘</w:t>
      </w:r>
      <w:r w:rsidR="00BF2DDC">
        <w:t>reasonable steps’</w:t>
      </w:r>
      <w:r w:rsidRPr="00923288">
        <w:t xml:space="preserve"> defence is available to an employer in relation to Part V detriment claims attributed to the employer: see s.47B(1D).</w:t>
      </w:r>
    </w:p>
    <w:p w:rsidR="0090119F" w:rsidRPr="0090119F" w:rsidRDefault="0090119F" w:rsidP="00763FDB">
      <w:pPr>
        <w:pStyle w:val="ParaLevel1"/>
        <w:numPr>
          <w:ilvl w:val="0"/>
          <w:numId w:val="0"/>
        </w:numPr>
        <w:ind w:left="1418" w:right="828"/>
        <w:rPr>
          <w:rFonts w:ascii="Times" w:hAnsi="Times"/>
          <w:sz w:val="20"/>
        </w:rPr>
      </w:pPr>
      <w:r w:rsidRPr="0090119F">
        <w:t>158.</w:t>
      </w:r>
      <w:r w:rsidRPr="0090119F">
        <w:rPr>
          <w:sz w:val="14"/>
          <w:szCs w:val="14"/>
        </w:rPr>
        <w:t>          </w:t>
      </w:r>
      <w:r w:rsidRPr="0090119F">
        <w:t>Moreover, to construe the legislation as Mr Forshaw argues it should be is liable to produce other unjust results.  For example, i</w:t>
      </w:r>
      <w:r w:rsidR="00BF2DDC">
        <w:t>n a ‘tainted information case’</w:t>
      </w:r>
      <w:r w:rsidRPr="0090119F">
        <w:t xml:space="preserve"> which results in a finding that the unlawful act of the victimising manager cannot be attributed to the em</w:t>
      </w:r>
      <w:r w:rsidR="00BF2DDC">
        <w:t>ployer (and therefore does not ‘amount to dismissal’</w:t>
      </w:r>
      <w:r w:rsidRPr="0090119F">
        <w:t>), the reasoning in </w:t>
      </w:r>
      <w:r w:rsidRPr="00BF2DDC">
        <w:rPr>
          <w:bCs/>
          <w:i/>
        </w:rPr>
        <w:t>CLFIS v. Reynolds</w:t>
      </w:r>
      <w:r w:rsidRPr="0090119F">
        <w:t> would apply with the result that losses would be recoverable from the person responsible for the detriment short of dismissal.  This would include losses flowing from a consequential dismissal subject only to any legally applicable limitation on such losses.  On that basis the worker responsible for the victimisation would remain liable to pay full compensation under s.49(1)(b) ERA 1996.  On the other hand, where the victimising manager’s rationale or recommendation is attributed to the dismissing officer and so is treated as the employer’s reason for dismissal, the worker responsible for the unlawful conduct escapes liability.  Further, complainants may be left without any remedy at all even in a clear case in which dismissal results in part from a detriment done ‘on the ground that’ a protected disclosure was made: where the victimising manager responsible for the detrimental recommendation leading to dismissal is relieve</w:t>
      </w:r>
      <w:r w:rsidR="00910E43">
        <w:t>d of liability because his act ‘amounts to dismissal’</w:t>
      </w:r>
      <w:r w:rsidRPr="0090119F">
        <w:t xml:space="preserve"> putting the case within s.103A ERA 1996, the employer might be able to argue that even if the protected disclosure was material to the decis</w:t>
      </w:r>
      <w:r w:rsidR="00910E43">
        <w:t>ion to dismiss, it was not the reason or principal reason’</w:t>
      </w:r>
      <w:r w:rsidRPr="0090119F">
        <w:t xml:space="preserve"> for the dismissal.</w:t>
      </w:r>
      <w:r w:rsidR="00E54619">
        <w:t>”</w:t>
      </w:r>
    </w:p>
    <w:p w:rsidR="0091477C" w:rsidRDefault="0091477C" w:rsidP="00763FDB">
      <w:pPr>
        <w:pStyle w:val="ParaLevel1"/>
        <w:rPr>
          <w:rFonts w:eastAsia="Calibri"/>
        </w:rPr>
      </w:pPr>
      <w:r>
        <w:rPr>
          <w:rFonts w:eastAsia="Calibri"/>
        </w:rPr>
        <w:t xml:space="preserve">Mr Stilitz in his submissions </w:t>
      </w:r>
      <w:r w:rsidR="0002155B">
        <w:rPr>
          <w:rFonts w:eastAsia="Calibri"/>
        </w:rPr>
        <w:t xml:space="preserve">in reply </w:t>
      </w:r>
      <w:r w:rsidR="00834BDF">
        <w:rPr>
          <w:rFonts w:eastAsia="Calibri"/>
        </w:rPr>
        <w:t xml:space="preserve">contended </w:t>
      </w:r>
      <w:r>
        <w:rPr>
          <w:rFonts w:eastAsia="Calibri"/>
        </w:rPr>
        <w:t xml:space="preserve">that </w:t>
      </w:r>
      <w:r w:rsidR="00E54619">
        <w:rPr>
          <w:rFonts w:eastAsia="Calibri"/>
        </w:rPr>
        <w:t xml:space="preserve">the construction of section 47B (2) advanced by Mr </w:t>
      </w:r>
      <w:r w:rsidR="00FC4E30">
        <w:rPr>
          <w:rFonts w:eastAsia="Calibri"/>
        </w:rPr>
        <w:t>Carr and accepted by Simler P</w:t>
      </w:r>
      <w:r w:rsidR="00E54619">
        <w:rPr>
          <w:rFonts w:eastAsia="Calibri"/>
        </w:rPr>
        <w:t xml:space="preserve"> </w:t>
      </w:r>
      <w:r>
        <w:rPr>
          <w:rFonts w:eastAsia="Calibri"/>
        </w:rPr>
        <w:t>did not correspond to the Claimant’s pleading or the way that the case had been put in the ET, where the tribunal clearly proceeded on the basis that it was concerned with a distinct pre-dismissal detriment and not with dismissal as such</w:t>
      </w:r>
      <w:r w:rsidR="00191224">
        <w:rPr>
          <w:rFonts w:eastAsia="Calibri"/>
        </w:rPr>
        <w:t xml:space="preserve">:  see para. </w:t>
      </w:r>
      <w:r w:rsidR="00834BDF">
        <w:rPr>
          <w:rFonts w:eastAsia="Calibri"/>
        </w:rPr>
        <w:t>43</w:t>
      </w:r>
      <w:r w:rsidR="00191224">
        <w:rPr>
          <w:rFonts w:eastAsia="Calibri"/>
        </w:rPr>
        <w:t xml:space="preserve"> above</w:t>
      </w:r>
      <w:r>
        <w:rPr>
          <w:rFonts w:eastAsia="Calibri"/>
        </w:rPr>
        <w:t xml:space="preserve">.  </w:t>
      </w:r>
      <w:r w:rsidR="00834BDF">
        <w:rPr>
          <w:rFonts w:eastAsia="Calibri"/>
        </w:rPr>
        <w:t xml:space="preserve">Mr Carr said that he had in fact put it both ways in the ET, but in any event </w:t>
      </w:r>
      <w:r>
        <w:rPr>
          <w:rFonts w:eastAsia="Calibri"/>
        </w:rPr>
        <w:t xml:space="preserve">it is clear from Simler P’s judgment that </w:t>
      </w:r>
      <w:r w:rsidR="00834BDF">
        <w:rPr>
          <w:rFonts w:eastAsia="Calibri"/>
        </w:rPr>
        <w:t xml:space="preserve">her reasoning </w:t>
      </w:r>
      <w:r w:rsidR="00BF5120">
        <w:rPr>
          <w:rFonts w:eastAsia="Calibri"/>
        </w:rPr>
        <w:t>reflected</w:t>
      </w:r>
      <w:r w:rsidR="00834BDF">
        <w:rPr>
          <w:rFonts w:eastAsia="Calibri"/>
        </w:rPr>
        <w:t xml:space="preserve"> the case advanced </w:t>
      </w:r>
      <w:r w:rsidR="00BF5120">
        <w:rPr>
          <w:rFonts w:eastAsia="Calibri"/>
        </w:rPr>
        <w:t xml:space="preserve">by him </w:t>
      </w:r>
      <w:r w:rsidR="00834BDF">
        <w:rPr>
          <w:rFonts w:eastAsia="Calibri"/>
        </w:rPr>
        <w:t xml:space="preserve">before her, </w:t>
      </w:r>
      <w:r>
        <w:rPr>
          <w:rFonts w:eastAsia="Calibri"/>
        </w:rPr>
        <w:t xml:space="preserve">and it does not appear to have been argued that </w:t>
      </w:r>
      <w:r w:rsidR="00A12605">
        <w:rPr>
          <w:rFonts w:eastAsia="Calibri"/>
        </w:rPr>
        <w:t>it was not open to him to advance the case that he did;</w:t>
      </w:r>
      <w:r w:rsidR="00EA6304">
        <w:rPr>
          <w:rFonts w:eastAsia="Calibri"/>
        </w:rPr>
        <w:t xml:space="preserve"> nor was any such objection</w:t>
      </w:r>
      <w:r>
        <w:rPr>
          <w:rFonts w:eastAsia="Calibri"/>
        </w:rPr>
        <w:t xml:space="preserve"> raised in the grounds of appeal to this Court or in Mr Stilitz’s skeleton argument.  I do not believe that any objection can be taken now.</w:t>
      </w:r>
    </w:p>
    <w:p w:rsidR="005004E3" w:rsidRDefault="0091477C" w:rsidP="00763FDB">
      <w:pPr>
        <w:pStyle w:val="ParaLevel1"/>
        <w:rPr>
          <w:rFonts w:eastAsia="Calibri"/>
        </w:rPr>
      </w:pPr>
      <w:r>
        <w:rPr>
          <w:rFonts w:eastAsia="Calibri"/>
        </w:rPr>
        <w:t>As regards the substance of the argu</w:t>
      </w:r>
      <w:r w:rsidR="00617B5E">
        <w:rPr>
          <w:rFonts w:eastAsia="Calibri"/>
        </w:rPr>
        <w:t xml:space="preserve">ment, Mr Stilitz </w:t>
      </w:r>
      <w:r>
        <w:rPr>
          <w:rFonts w:eastAsia="Calibri"/>
        </w:rPr>
        <w:t>focused first on the words of the sub-section.  He submitted that the parent</w:t>
      </w:r>
      <w:r w:rsidR="00EA6304">
        <w:rPr>
          <w:rFonts w:eastAsia="Calibri"/>
        </w:rPr>
        <w:t>hesis “within the meaning of</w:t>
      </w:r>
      <w:r>
        <w:rPr>
          <w:rFonts w:eastAsia="Calibri"/>
        </w:rPr>
        <w:t xml:space="preserve"> Part X” did no more than define the word “dismissal”.  It did not literally or on any natural reading refer to whether the detriment amounted to </w:t>
      </w:r>
      <w:r w:rsidRPr="00E762EE">
        <w:rPr>
          <w:rFonts w:eastAsia="Calibri"/>
          <w:i/>
        </w:rPr>
        <w:t>unfair</w:t>
      </w:r>
      <w:r>
        <w:rPr>
          <w:rFonts w:eastAsia="Calibri"/>
        </w:rPr>
        <w:t xml:space="preserve"> dismissal.  </w:t>
      </w:r>
      <w:r w:rsidR="005004E3">
        <w:rPr>
          <w:rFonts w:eastAsia="Calibri"/>
        </w:rPr>
        <w:t xml:space="preserve">Simler P’s paraphrase at para. 154 of her judgment – </w:t>
      </w:r>
      <w:r w:rsidR="00C17C83">
        <w:rPr>
          <w:rFonts w:eastAsia="Calibri"/>
        </w:rPr>
        <w:t>“</w:t>
      </w:r>
      <w:r w:rsidR="00876C33">
        <w:t>in other words</w:t>
      </w:r>
      <w:r w:rsidR="00C17C83">
        <w:t xml:space="preserve"> … </w:t>
      </w:r>
      <w:r w:rsidR="00C17C83" w:rsidRPr="00923288">
        <w:t>detriments amounting to unfair dismissal claims necessarily against the employer</w:t>
      </w:r>
      <w:r w:rsidR="00C17C83">
        <w:t>” – wen</w:t>
      </w:r>
      <w:r w:rsidR="00BC1DE2">
        <w:t>t beyond the statutory language.</w:t>
      </w:r>
      <w:r w:rsidR="00E7675B">
        <w:t xml:space="preserve">  If the intention had been </w:t>
      </w:r>
      <w:r w:rsidR="00E04A2D">
        <w:t xml:space="preserve">that </w:t>
      </w:r>
      <w:r w:rsidR="00E7675B">
        <w:t>co-workers should be liable as individuals for the detriment of dismissal</w:t>
      </w:r>
      <w:r w:rsidR="002A7043">
        <w:t>,</w:t>
      </w:r>
      <w:r w:rsidR="00E7675B">
        <w:t xml:space="preserve"> that could easily have been achieved</w:t>
      </w:r>
      <w:r w:rsidR="00931B3B">
        <w:t>, when the 2013 amendments were made, by amending sub-section (2) so that it read “</w:t>
      </w:r>
      <w:r w:rsidR="00931B3B">
        <w:rPr>
          <w:i/>
        </w:rPr>
        <w:t xml:space="preserve">sub-section (1) </w:t>
      </w:r>
      <w:r w:rsidR="002A7043">
        <w:t>does not apply where …</w:t>
      </w:r>
      <w:r w:rsidR="00876C33">
        <w:t>[etc]</w:t>
      </w:r>
      <w:r w:rsidR="002A7043">
        <w:t>”.</w:t>
      </w:r>
    </w:p>
    <w:p w:rsidR="00072B61" w:rsidRPr="00B33425" w:rsidRDefault="006B4A35" w:rsidP="00763FDB">
      <w:pPr>
        <w:pStyle w:val="ParaLevel1"/>
        <w:rPr>
          <w:rFonts w:eastAsia="Calibri"/>
        </w:rPr>
      </w:pPr>
      <w:r>
        <w:rPr>
          <w:rFonts w:eastAsia="Calibri"/>
        </w:rPr>
        <w:t>More generally,</w:t>
      </w:r>
      <w:r w:rsidR="00D70B0D">
        <w:rPr>
          <w:rFonts w:eastAsia="Calibri"/>
        </w:rPr>
        <w:t xml:space="preserve"> Mr Stilitz </w:t>
      </w:r>
      <w:r w:rsidR="007664AF">
        <w:rPr>
          <w:rFonts w:eastAsia="Calibri"/>
        </w:rPr>
        <w:t>contended</w:t>
      </w:r>
      <w:r w:rsidR="00AC6ACB">
        <w:rPr>
          <w:rFonts w:eastAsia="Calibri"/>
        </w:rPr>
        <w:t xml:space="preserve"> that if the Claimant’s construction of section 47B (2) were accepted it would </w:t>
      </w:r>
      <w:r w:rsidR="002245B4">
        <w:rPr>
          <w:rFonts w:eastAsia="Calibri"/>
        </w:rPr>
        <w:t>undermine the careful demarc</w:t>
      </w:r>
      <w:r w:rsidR="003F2C1F">
        <w:rPr>
          <w:rFonts w:eastAsia="Calibri"/>
        </w:rPr>
        <w:t>ation between Part V and Part X</w:t>
      </w:r>
      <w:r w:rsidR="00072B61">
        <w:rPr>
          <w:rFonts w:eastAsia="Calibri"/>
        </w:rPr>
        <w:t>.</w:t>
      </w:r>
      <w:r w:rsidR="00EA6304">
        <w:rPr>
          <w:rFonts w:eastAsia="Calibri"/>
        </w:rPr>
        <w:t xml:space="preserve">  </w:t>
      </w:r>
      <w:r w:rsidR="006513A2">
        <w:rPr>
          <w:rFonts w:eastAsia="Calibri"/>
        </w:rPr>
        <w:t xml:space="preserve">In </w:t>
      </w:r>
      <w:r w:rsidR="00876C33">
        <w:rPr>
          <w:rFonts w:eastAsia="Calibri"/>
        </w:rPr>
        <w:t xml:space="preserve">practice, in </w:t>
      </w:r>
      <w:r w:rsidR="006513A2">
        <w:rPr>
          <w:rFonts w:eastAsia="Calibri"/>
        </w:rPr>
        <w:t xml:space="preserve">every case of whistleblower dismissal the claimant would proceed against the employer </w:t>
      </w:r>
      <w:r w:rsidR="00A21515">
        <w:rPr>
          <w:rFonts w:eastAsia="Calibri"/>
        </w:rPr>
        <w:t>under</w:t>
      </w:r>
      <w:r w:rsidR="006513A2">
        <w:rPr>
          <w:rFonts w:eastAsia="Calibri"/>
        </w:rPr>
        <w:t xml:space="preserve"> section 47B (1B)</w:t>
      </w:r>
      <w:r w:rsidR="00B65622">
        <w:rPr>
          <w:rFonts w:eastAsia="Calibri"/>
        </w:rPr>
        <w:t xml:space="preserve"> (on the back of the </w:t>
      </w:r>
      <w:r w:rsidR="00D5020B">
        <w:rPr>
          <w:rFonts w:eastAsia="Calibri"/>
        </w:rPr>
        <w:t xml:space="preserve">co-worker’s </w:t>
      </w:r>
      <w:r w:rsidR="00B65622">
        <w:rPr>
          <w:rFonts w:eastAsia="Calibri"/>
        </w:rPr>
        <w:t>liability under sub-section (1A)</w:t>
      </w:r>
      <w:r w:rsidR="000804EA">
        <w:rPr>
          <w:rFonts w:eastAsia="Calibri"/>
        </w:rPr>
        <w:t>)</w:t>
      </w:r>
      <w:r w:rsidR="00B65622">
        <w:rPr>
          <w:rFonts w:eastAsia="Calibri"/>
        </w:rPr>
        <w:t xml:space="preserve"> as well as, or instead of, under section 103A. </w:t>
      </w:r>
      <w:r w:rsidR="000804EA">
        <w:rPr>
          <w:rFonts w:eastAsia="Calibri"/>
        </w:rPr>
        <w:t xml:space="preserve"> </w:t>
      </w:r>
      <w:r w:rsidR="00B33425">
        <w:rPr>
          <w:rFonts w:eastAsia="Calibri"/>
        </w:rPr>
        <w:t>There would</w:t>
      </w:r>
      <w:r w:rsidR="00072B61" w:rsidRPr="00B33425">
        <w:rPr>
          <w:rFonts w:eastAsia="Calibri"/>
        </w:rPr>
        <w:t xml:space="preserve"> be two particular advantages in </w:t>
      </w:r>
      <w:r w:rsidR="00BF5120">
        <w:rPr>
          <w:rFonts w:eastAsia="Calibri"/>
        </w:rPr>
        <w:t>claimants taking that course</w:t>
      </w:r>
      <w:r w:rsidR="00072B61" w:rsidRPr="00B33425">
        <w:rPr>
          <w:rFonts w:eastAsia="Calibri"/>
        </w:rPr>
        <w:t>:</w:t>
      </w:r>
    </w:p>
    <w:p w:rsidR="00072B61" w:rsidRDefault="00B33425" w:rsidP="00763FDB">
      <w:pPr>
        <w:pStyle w:val="ParaLevel1"/>
        <w:numPr>
          <w:ilvl w:val="0"/>
          <w:numId w:val="0"/>
        </w:numPr>
        <w:ind w:left="1287" w:hanging="567"/>
        <w:rPr>
          <w:rFonts w:eastAsia="Calibri"/>
        </w:rPr>
      </w:pPr>
      <w:r>
        <w:rPr>
          <w:rFonts w:eastAsia="Calibri"/>
        </w:rPr>
        <w:t>(1)</w:t>
      </w:r>
      <w:r>
        <w:rPr>
          <w:rFonts w:eastAsia="Calibri"/>
        </w:rPr>
        <w:tab/>
      </w:r>
      <w:r w:rsidR="00D5020B">
        <w:rPr>
          <w:rFonts w:eastAsia="Calibri"/>
        </w:rPr>
        <w:t>It would</w:t>
      </w:r>
      <w:r w:rsidR="000022DF">
        <w:rPr>
          <w:rFonts w:eastAsia="Calibri"/>
        </w:rPr>
        <w:t xml:space="preserve"> – assuming</w:t>
      </w:r>
      <w:r w:rsidR="00072B61">
        <w:rPr>
          <w:rFonts w:eastAsia="Calibri"/>
        </w:rPr>
        <w:t xml:space="preserve"> that </w:t>
      </w:r>
      <w:r w:rsidR="00072B61" w:rsidRPr="00964EC5">
        <w:rPr>
          <w:rFonts w:eastAsia="Calibri"/>
          <w:i/>
        </w:rPr>
        <w:t>Virgo Fidelis</w:t>
      </w:r>
      <w:r w:rsidR="00072B61">
        <w:rPr>
          <w:rFonts w:eastAsia="Calibri"/>
        </w:rPr>
        <w:t xml:space="preserve"> is correctly decided </w:t>
      </w:r>
      <w:r w:rsidR="000022DF">
        <w:rPr>
          <w:rFonts w:eastAsia="Calibri"/>
        </w:rPr>
        <w:t xml:space="preserve">(see para. </w:t>
      </w:r>
      <w:r w:rsidR="00DC3A80">
        <w:rPr>
          <w:rFonts w:eastAsia="Calibri"/>
        </w:rPr>
        <w:t>27</w:t>
      </w:r>
      <w:r w:rsidR="000022DF">
        <w:rPr>
          <w:rFonts w:eastAsia="Calibri"/>
        </w:rPr>
        <w:t xml:space="preserve"> above) </w:t>
      </w:r>
      <w:r w:rsidR="00072B61">
        <w:rPr>
          <w:rFonts w:eastAsia="Calibri"/>
        </w:rPr>
        <w:t xml:space="preserve">– enable </w:t>
      </w:r>
      <w:r w:rsidR="00EA6304">
        <w:rPr>
          <w:rFonts w:eastAsia="Calibri"/>
        </w:rPr>
        <w:t>them</w:t>
      </w:r>
      <w:r w:rsidR="00072B61">
        <w:rPr>
          <w:rFonts w:eastAsia="Calibri"/>
        </w:rPr>
        <w:t xml:space="preserve"> to recover compensation for injury to feelings, which would not, because of </w:t>
      </w:r>
      <w:r w:rsidR="00072B61" w:rsidRPr="00E0665F">
        <w:rPr>
          <w:rFonts w:eastAsia="Calibri"/>
          <w:i/>
        </w:rPr>
        <w:t>Dunnachie</w:t>
      </w:r>
      <w:r w:rsidR="00072B61">
        <w:rPr>
          <w:rFonts w:eastAsia="Calibri"/>
        </w:rPr>
        <w:t>, be available in a claim against the employer under section 103A.</w:t>
      </w:r>
    </w:p>
    <w:p w:rsidR="00072B61" w:rsidRDefault="00D5020B" w:rsidP="00763FDB">
      <w:pPr>
        <w:pStyle w:val="ParaLevel1"/>
        <w:numPr>
          <w:ilvl w:val="0"/>
          <w:numId w:val="0"/>
        </w:numPr>
        <w:ind w:left="1287" w:hanging="567"/>
        <w:rPr>
          <w:rFonts w:eastAsia="Calibri"/>
        </w:rPr>
      </w:pPr>
      <w:r>
        <w:rPr>
          <w:rFonts w:eastAsia="Calibri"/>
        </w:rPr>
        <w:t>(2)</w:t>
      </w:r>
      <w:r>
        <w:rPr>
          <w:rFonts w:eastAsia="Calibri"/>
        </w:rPr>
        <w:tab/>
        <w:t>It would</w:t>
      </w:r>
      <w:r w:rsidR="00072B61">
        <w:rPr>
          <w:rFonts w:eastAsia="Calibri"/>
        </w:rPr>
        <w:t xml:space="preserve"> allow </w:t>
      </w:r>
      <w:r w:rsidR="00DA698F">
        <w:rPr>
          <w:rFonts w:eastAsia="Calibri"/>
        </w:rPr>
        <w:t>them</w:t>
      </w:r>
      <w:r w:rsidR="00072B61">
        <w:rPr>
          <w:rFonts w:eastAsia="Calibri"/>
        </w:rPr>
        <w:t xml:space="preserve"> to avail themselves of the less restrictive test of causation in section 47B (see para. </w:t>
      </w:r>
      <w:r w:rsidR="00DC3A80">
        <w:rPr>
          <w:rFonts w:eastAsia="Calibri"/>
        </w:rPr>
        <w:t>54</w:t>
      </w:r>
      <w:r w:rsidR="00072B61">
        <w:rPr>
          <w:rFonts w:eastAsia="Calibri"/>
        </w:rPr>
        <w:t xml:space="preserve"> above).</w:t>
      </w:r>
    </w:p>
    <w:p w:rsidR="00072B61" w:rsidRDefault="00072B61" w:rsidP="00763FDB">
      <w:pPr>
        <w:pStyle w:val="ParaLevel1"/>
        <w:numPr>
          <w:ilvl w:val="0"/>
          <w:numId w:val="0"/>
        </w:numPr>
        <w:ind w:left="720"/>
        <w:rPr>
          <w:rFonts w:eastAsia="Calibri"/>
        </w:rPr>
      </w:pPr>
      <w:r>
        <w:rPr>
          <w:rFonts w:eastAsia="Calibri"/>
        </w:rPr>
        <w:t xml:space="preserve">It cannot, he submitted, have been the intention of Parliament to allow the particular requirements of Part X to be circumvented in this way.  </w:t>
      </w:r>
      <w:r w:rsidR="00DA698F">
        <w:rPr>
          <w:rFonts w:eastAsia="Calibri"/>
        </w:rPr>
        <w:t>S</w:t>
      </w:r>
      <w:r w:rsidR="000022DF">
        <w:rPr>
          <w:rFonts w:eastAsia="Calibri"/>
        </w:rPr>
        <w:t xml:space="preserve">ection 103A would become a dead letter.  </w:t>
      </w:r>
    </w:p>
    <w:p w:rsidR="001975A7" w:rsidRDefault="00923038" w:rsidP="00763FDB">
      <w:pPr>
        <w:pStyle w:val="ParaLevel1"/>
        <w:rPr>
          <w:rFonts w:eastAsia="Calibri"/>
        </w:rPr>
      </w:pPr>
      <w:r>
        <w:rPr>
          <w:rFonts w:eastAsia="Calibri"/>
        </w:rPr>
        <w:t>Mr Stilitz acknowledged that there would be rare occasions when</w:t>
      </w:r>
      <w:r w:rsidR="00DC3A80">
        <w:rPr>
          <w:rFonts w:eastAsia="Calibri"/>
        </w:rPr>
        <w:t>,</w:t>
      </w:r>
      <w:r>
        <w:rPr>
          <w:rFonts w:eastAsia="Calibri"/>
        </w:rPr>
        <w:t xml:space="preserve"> </w:t>
      </w:r>
      <w:r w:rsidR="00DC3A80">
        <w:rPr>
          <w:rFonts w:eastAsia="Calibri"/>
        </w:rPr>
        <w:t>because of doubts about the employer’s solvency</w:t>
      </w:r>
      <w:r w:rsidR="003E1C1D">
        <w:rPr>
          <w:rFonts w:eastAsia="Calibri"/>
        </w:rPr>
        <w:t>,</w:t>
      </w:r>
      <w:r w:rsidR="00DC3A80">
        <w:rPr>
          <w:rFonts w:eastAsia="Calibri"/>
        </w:rPr>
        <w:t xml:space="preserve"> </w:t>
      </w:r>
      <w:r>
        <w:rPr>
          <w:rFonts w:eastAsia="Calibri"/>
        </w:rPr>
        <w:t>it w</w:t>
      </w:r>
      <w:r w:rsidR="00DC3A80">
        <w:rPr>
          <w:rFonts w:eastAsia="Calibri"/>
        </w:rPr>
        <w:t xml:space="preserve">ould be </w:t>
      </w:r>
      <w:r>
        <w:rPr>
          <w:rFonts w:eastAsia="Calibri"/>
        </w:rPr>
        <w:t xml:space="preserve">in the interests </w:t>
      </w:r>
      <w:r w:rsidR="00E743DF">
        <w:rPr>
          <w:rFonts w:eastAsia="Calibri"/>
        </w:rPr>
        <w:t xml:space="preserve">of an employee dismissed on whistleblower grounds </w:t>
      </w:r>
      <w:r>
        <w:rPr>
          <w:rFonts w:eastAsia="Calibri"/>
        </w:rPr>
        <w:t>to proceed</w:t>
      </w:r>
      <w:r w:rsidR="00EA6304">
        <w:rPr>
          <w:rFonts w:eastAsia="Calibri"/>
        </w:rPr>
        <w:t>,</w:t>
      </w:r>
      <w:r>
        <w:rPr>
          <w:rFonts w:eastAsia="Calibri"/>
        </w:rPr>
        <w:t xml:space="preserve"> </w:t>
      </w:r>
      <w:r w:rsidR="00EA6304">
        <w:rPr>
          <w:rFonts w:eastAsia="Calibri"/>
        </w:rPr>
        <w:t xml:space="preserve">if the Act allowed, </w:t>
      </w:r>
      <w:r>
        <w:rPr>
          <w:rFonts w:eastAsia="Calibri"/>
        </w:rPr>
        <w:t xml:space="preserve">against </w:t>
      </w:r>
      <w:r w:rsidR="00E743DF">
        <w:rPr>
          <w:rFonts w:eastAsia="Calibri"/>
        </w:rPr>
        <w:t>the individual responsible</w:t>
      </w:r>
      <w:r w:rsidR="00EA6304" w:rsidRPr="00EA6304">
        <w:rPr>
          <w:rFonts w:eastAsia="Calibri"/>
        </w:rPr>
        <w:t xml:space="preserve"> </w:t>
      </w:r>
      <w:r w:rsidR="00EA6304">
        <w:rPr>
          <w:rFonts w:eastAsia="Calibri"/>
        </w:rPr>
        <w:t>under section 47B (1A)</w:t>
      </w:r>
      <w:r w:rsidR="00DC3A80">
        <w:rPr>
          <w:rFonts w:eastAsia="Calibri"/>
        </w:rPr>
        <w:t xml:space="preserve">.  </w:t>
      </w:r>
      <w:r w:rsidR="009B6346">
        <w:rPr>
          <w:rFonts w:eastAsia="Calibri"/>
        </w:rPr>
        <w:t>But he submitted that t</w:t>
      </w:r>
      <w:r w:rsidR="001C5C24">
        <w:rPr>
          <w:rFonts w:eastAsia="Calibri"/>
        </w:rPr>
        <w:t xml:space="preserve">here was no reason to suppose that Parliament was concerned with </w:t>
      </w:r>
      <w:r w:rsidR="009B6346">
        <w:rPr>
          <w:rFonts w:eastAsia="Calibri"/>
        </w:rPr>
        <w:t>an unusual case of that kind</w:t>
      </w:r>
      <w:r w:rsidR="00EA6304">
        <w:rPr>
          <w:rFonts w:eastAsia="Calibri"/>
        </w:rPr>
        <w:t>.  T</w:t>
      </w:r>
      <w:r w:rsidR="00914109">
        <w:rPr>
          <w:rFonts w:eastAsia="Calibri"/>
        </w:rPr>
        <w:t xml:space="preserve">he possibility that respondents might prove insolvent is a </w:t>
      </w:r>
      <w:r w:rsidR="00431268">
        <w:rPr>
          <w:rFonts w:eastAsia="Calibri"/>
        </w:rPr>
        <w:t>risk</w:t>
      </w:r>
      <w:r w:rsidR="00914109">
        <w:rPr>
          <w:rFonts w:eastAsia="Calibri"/>
        </w:rPr>
        <w:t xml:space="preserve"> of all litigation</w:t>
      </w:r>
      <w:r w:rsidR="00EA6304">
        <w:rPr>
          <w:rFonts w:eastAsia="Calibri"/>
        </w:rPr>
        <w:t>,</w:t>
      </w:r>
      <w:r w:rsidR="009F504F">
        <w:rPr>
          <w:rFonts w:eastAsia="Calibri"/>
        </w:rPr>
        <w:t xml:space="preserve"> and </w:t>
      </w:r>
      <w:r w:rsidR="00EA6304">
        <w:rPr>
          <w:rFonts w:eastAsia="Calibri"/>
        </w:rPr>
        <w:t xml:space="preserve">it </w:t>
      </w:r>
      <w:r w:rsidR="009F504F">
        <w:rPr>
          <w:rFonts w:eastAsia="Calibri"/>
        </w:rPr>
        <w:t xml:space="preserve">is addressed, </w:t>
      </w:r>
      <w:r w:rsidR="00010C74">
        <w:rPr>
          <w:rFonts w:eastAsia="Calibri"/>
        </w:rPr>
        <w:t xml:space="preserve">to the </w:t>
      </w:r>
      <w:r w:rsidR="0073493A">
        <w:rPr>
          <w:rFonts w:eastAsia="Calibri"/>
        </w:rPr>
        <w:t>e</w:t>
      </w:r>
      <w:r w:rsidR="00010C74">
        <w:rPr>
          <w:rFonts w:eastAsia="Calibri"/>
        </w:rPr>
        <w:t xml:space="preserve">xtent </w:t>
      </w:r>
      <w:r w:rsidR="0073493A">
        <w:rPr>
          <w:rFonts w:eastAsia="Calibri"/>
        </w:rPr>
        <w:t>Parliament thought appropriate</w:t>
      </w:r>
      <w:r w:rsidR="00010C74">
        <w:rPr>
          <w:rFonts w:eastAsia="Calibri"/>
        </w:rPr>
        <w:t xml:space="preserve">, by </w:t>
      </w:r>
      <w:r w:rsidR="00515A7C">
        <w:rPr>
          <w:rFonts w:eastAsia="Calibri"/>
        </w:rPr>
        <w:t>Part XII of the 1996 Act</w:t>
      </w:r>
      <w:r w:rsidR="00EA6304">
        <w:rPr>
          <w:rFonts w:eastAsia="Calibri"/>
        </w:rPr>
        <w:t xml:space="preserve">, which provides for a scheme under which the Secretary of State is obliged to pay some liabilities of insolvent employers.  </w:t>
      </w:r>
      <w:r w:rsidR="00DC3A80">
        <w:rPr>
          <w:rFonts w:eastAsia="Calibri"/>
        </w:rPr>
        <w:t xml:space="preserve">Apart from such cases, </w:t>
      </w:r>
      <w:r w:rsidR="003E1C1D">
        <w:rPr>
          <w:rFonts w:eastAsia="Calibri"/>
        </w:rPr>
        <w:t>the remedy under section 103A was not only equivalent but</w:t>
      </w:r>
      <w:r w:rsidR="00DC3A80">
        <w:rPr>
          <w:rFonts w:eastAsia="Calibri"/>
        </w:rPr>
        <w:t xml:space="preserve"> superior.</w:t>
      </w:r>
    </w:p>
    <w:p w:rsidR="00256FC1" w:rsidRDefault="001975A7" w:rsidP="00763FDB">
      <w:pPr>
        <w:pStyle w:val="ParaLevel1"/>
        <w:rPr>
          <w:rFonts w:eastAsia="Calibri"/>
        </w:rPr>
      </w:pPr>
      <w:r>
        <w:rPr>
          <w:rFonts w:eastAsia="Calibri"/>
        </w:rPr>
        <w:t>Mr Stilitz</w:t>
      </w:r>
      <w:r w:rsidR="003E4864">
        <w:rPr>
          <w:rFonts w:eastAsia="Calibri"/>
        </w:rPr>
        <w:t xml:space="preserve"> </w:t>
      </w:r>
      <w:r w:rsidR="0005313A">
        <w:rPr>
          <w:rFonts w:eastAsia="Calibri"/>
        </w:rPr>
        <w:t xml:space="preserve">did not accept that </w:t>
      </w:r>
      <w:r w:rsidR="00131F59">
        <w:rPr>
          <w:rFonts w:eastAsia="Calibri"/>
        </w:rPr>
        <w:t xml:space="preserve">it was more coherent for </w:t>
      </w:r>
      <w:r w:rsidR="003E4864">
        <w:rPr>
          <w:rFonts w:eastAsia="Calibri"/>
        </w:rPr>
        <w:t>dismissed employees to be treated</w:t>
      </w:r>
      <w:r w:rsidR="00B17ED8">
        <w:rPr>
          <w:rFonts w:eastAsia="Calibri"/>
        </w:rPr>
        <w:t>, as regards the right to claim against co-workers,</w:t>
      </w:r>
      <w:r w:rsidR="003E4864">
        <w:rPr>
          <w:rFonts w:eastAsia="Calibri"/>
        </w:rPr>
        <w:t xml:space="preserve"> in the same way as </w:t>
      </w:r>
      <w:r w:rsidR="00B17ED8">
        <w:rPr>
          <w:rFonts w:eastAsia="Calibri"/>
        </w:rPr>
        <w:t xml:space="preserve">workers whose employments had been terminated: their circumstances were fundamentally different, because the former had a right to claim under Part X </w:t>
      </w:r>
      <w:r w:rsidR="00256FC1">
        <w:rPr>
          <w:rFonts w:eastAsia="Calibri"/>
        </w:rPr>
        <w:t>whereas the latter did not.</w:t>
      </w:r>
      <w:r w:rsidR="006B387D">
        <w:rPr>
          <w:rFonts w:eastAsia="Calibri"/>
        </w:rPr>
        <w:t xml:space="preserve">  Nor was </w:t>
      </w:r>
      <w:r w:rsidR="00EA6304">
        <w:rPr>
          <w:rFonts w:eastAsia="Calibri"/>
        </w:rPr>
        <w:t xml:space="preserve">it, in his submission, </w:t>
      </w:r>
      <w:r w:rsidR="006B387D">
        <w:rPr>
          <w:rFonts w:eastAsia="Calibri"/>
        </w:rPr>
        <w:t xml:space="preserve">an </w:t>
      </w:r>
      <w:r w:rsidR="00EA6304">
        <w:rPr>
          <w:rFonts w:eastAsia="Calibri"/>
        </w:rPr>
        <w:t xml:space="preserve">unacceptable </w:t>
      </w:r>
      <w:r w:rsidR="006B387D">
        <w:rPr>
          <w:rFonts w:eastAsia="Calibri"/>
        </w:rPr>
        <w:t>anomaly</w:t>
      </w:r>
      <w:r w:rsidR="00C907CE">
        <w:rPr>
          <w:rFonts w:eastAsia="Calibri"/>
        </w:rPr>
        <w:t>, as Simler P said in para. 157 of her judgment,</w:t>
      </w:r>
      <w:r w:rsidR="006B387D">
        <w:rPr>
          <w:rFonts w:eastAsia="Calibri"/>
        </w:rPr>
        <w:t xml:space="preserve"> that the </w:t>
      </w:r>
      <w:r w:rsidR="008927D6">
        <w:rPr>
          <w:rFonts w:eastAsia="Calibri"/>
        </w:rPr>
        <w:t xml:space="preserve">individual co-worker could not be liable for a whistleblower dismissal when </w:t>
      </w:r>
      <w:r>
        <w:rPr>
          <w:rFonts w:eastAsia="Calibri"/>
        </w:rPr>
        <w:t>he or she</w:t>
      </w:r>
      <w:r w:rsidR="008927D6">
        <w:rPr>
          <w:rFonts w:eastAsia="Calibri"/>
        </w:rPr>
        <w:t xml:space="preserve"> could be liable for a prior act which caused it: that was simply a consequence of </w:t>
      </w:r>
      <w:r w:rsidR="00914B8D">
        <w:rPr>
          <w:rFonts w:eastAsia="Calibri"/>
        </w:rPr>
        <w:t>the intended “division of labour” between Part V and Part X</w:t>
      </w:r>
      <w:r w:rsidR="0083086E">
        <w:rPr>
          <w:rFonts w:eastAsia="Calibri"/>
        </w:rPr>
        <w:t xml:space="preserve"> and analogous to the anomaly which Elias LJ had accep</w:t>
      </w:r>
      <w:r w:rsidR="00B951B8">
        <w:rPr>
          <w:rFonts w:eastAsia="Calibri"/>
        </w:rPr>
        <w:t>t</w:t>
      </w:r>
      <w:r w:rsidR="0083086E">
        <w:rPr>
          <w:rFonts w:eastAsia="Calibri"/>
        </w:rPr>
        <w:t xml:space="preserve">ed in </w:t>
      </w:r>
      <w:r w:rsidR="0083086E" w:rsidRPr="00B951B8">
        <w:rPr>
          <w:rFonts w:eastAsia="Calibri"/>
          <w:i/>
        </w:rPr>
        <w:t>Fecitt</w:t>
      </w:r>
      <w:r w:rsidR="00B951B8">
        <w:rPr>
          <w:rFonts w:eastAsia="Calibri"/>
        </w:rPr>
        <w:t xml:space="preserve"> (see para. </w:t>
      </w:r>
      <w:r w:rsidR="00DC3A80">
        <w:rPr>
          <w:rFonts w:eastAsia="Calibri"/>
        </w:rPr>
        <w:t>54</w:t>
      </w:r>
      <w:r w:rsidR="00B951B8">
        <w:rPr>
          <w:rFonts w:eastAsia="Calibri"/>
        </w:rPr>
        <w:t xml:space="preserve"> above).</w:t>
      </w:r>
    </w:p>
    <w:p w:rsidR="001436E9" w:rsidRDefault="00BE0E21" w:rsidP="00763FDB">
      <w:pPr>
        <w:pStyle w:val="ParaLevel1"/>
        <w:rPr>
          <w:rFonts w:eastAsia="Calibri"/>
        </w:rPr>
      </w:pPr>
      <w:r>
        <w:rPr>
          <w:rFonts w:eastAsia="Calibri"/>
        </w:rPr>
        <w:t xml:space="preserve">I have not found this point </w:t>
      </w:r>
      <w:r w:rsidR="00625B5D">
        <w:rPr>
          <w:rFonts w:eastAsia="Calibri"/>
        </w:rPr>
        <w:t>straightfo</w:t>
      </w:r>
      <w:r w:rsidR="006628E6">
        <w:rPr>
          <w:rFonts w:eastAsia="Calibri"/>
        </w:rPr>
        <w:t>rward</w:t>
      </w:r>
      <w:r w:rsidR="000E128C">
        <w:rPr>
          <w:rFonts w:eastAsia="Calibri"/>
        </w:rPr>
        <w:t>, but I have come to the concl</w:t>
      </w:r>
      <w:r>
        <w:rPr>
          <w:rFonts w:eastAsia="Calibri"/>
        </w:rPr>
        <w:t xml:space="preserve">usion </w:t>
      </w:r>
      <w:r w:rsidR="00B951B8">
        <w:rPr>
          <w:rFonts w:eastAsia="Calibri"/>
        </w:rPr>
        <w:t>that the decision of the EAT wa</w:t>
      </w:r>
      <w:r w:rsidR="00427631">
        <w:rPr>
          <w:rFonts w:eastAsia="Calibri"/>
        </w:rPr>
        <w:t>s right</w:t>
      </w:r>
      <w:r w:rsidR="005D1C83">
        <w:rPr>
          <w:rFonts w:eastAsia="Calibri"/>
        </w:rPr>
        <w:t>.  My reasons are as follows.</w:t>
      </w:r>
    </w:p>
    <w:p w:rsidR="00194BEA" w:rsidRDefault="00033FAF" w:rsidP="00763FDB">
      <w:pPr>
        <w:pStyle w:val="ParaLevel1"/>
        <w:rPr>
          <w:rFonts w:eastAsia="Calibri"/>
        </w:rPr>
      </w:pPr>
      <w:r>
        <w:rPr>
          <w:rFonts w:eastAsia="Calibri"/>
        </w:rPr>
        <w:t xml:space="preserve">I start by saying that I agree with </w:t>
      </w:r>
      <w:r w:rsidR="006628E6">
        <w:rPr>
          <w:rFonts w:eastAsia="Calibri"/>
        </w:rPr>
        <w:t>Simler P</w:t>
      </w:r>
      <w:r w:rsidRPr="00802F3D">
        <w:rPr>
          <w:rFonts w:eastAsia="Calibri"/>
        </w:rPr>
        <w:t xml:space="preserve"> that </w:t>
      </w:r>
      <w:r w:rsidR="00D8195D" w:rsidRPr="00802F3D">
        <w:rPr>
          <w:rFonts w:eastAsia="Calibri"/>
        </w:rPr>
        <w:t xml:space="preserve">a construction of section 47B (2) which </w:t>
      </w:r>
      <w:r w:rsidR="00802F3D" w:rsidRPr="00802F3D">
        <w:rPr>
          <w:rFonts w:eastAsia="Calibri"/>
        </w:rPr>
        <w:t>prevented a</w:t>
      </w:r>
      <w:r w:rsidR="00977A15">
        <w:rPr>
          <w:rFonts w:eastAsia="Calibri"/>
        </w:rPr>
        <w:t xml:space="preserve"> claimant from bringing a claim </w:t>
      </w:r>
      <w:r w:rsidR="0059004B">
        <w:rPr>
          <w:rFonts w:eastAsia="Calibri"/>
        </w:rPr>
        <w:t xml:space="preserve">against an individual co-worker </w:t>
      </w:r>
      <w:r w:rsidR="00977A15">
        <w:rPr>
          <w:rFonts w:eastAsia="Calibri"/>
        </w:rPr>
        <w:t xml:space="preserve">based on the detriment of dismissal would produce an incoherent and unsatisfactory result </w:t>
      </w:r>
      <w:r w:rsidR="000456D5">
        <w:rPr>
          <w:rFonts w:eastAsia="Calibri"/>
        </w:rPr>
        <w:t xml:space="preserve">and is accordingly unlikely to conform to Parliament’s intention.  </w:t>
      </w:r>
      <w:r w:rsidR="00022096">
        <w:rPr>
          <w:rFonts w:eastAsia="Calibri"/>
        </w:rPr>
        <w:t xml:space="preserve">Once the decision was taken to make co-workers </w:t>
      </w:r>
      <w:r w:rsidR="00663062">
        <w:rPr>
          <w:rFonts w:eastAsia="Calibri"/>
        </w:rPr>
        <w:t xml:space="preserve">personally </w:t>
      </w:r>
      <w:r w:rsidR="00022096">
        <w:rPr>
          <w:rFonts w:eastAsia="Calibri"/>
        </w:rPr>
        <w:t xml:space="preserve">liable for whistleblower detriment it is </w:t>
      </w:r>
      <w:r w:rsidR="00A77BD4">
        <w:rPr>
          <w:rFonts w:eastAsia="Calibri"/>
        </w:rPr>
        <w:t>hard to see any reason in principle why they should, uniquely</w:t>
      </w:r>
      <w:r w:rsidR="003D5566">
        <w:rPr>
          <w:rFonts w:eastAsia="Calibri"/>
        </w:rPr>
        <w:t>, not be</w:t>
      </w:r>
      <w:r w:rsidR="00663062">
        <w:rPr>
          <w:rFonts w:eastAsia="Calibri"/>
        </w:rPr>
        <w:t xml:space="preserve"> so</w:t>
      </w:r>
      <w:r w:rsidR="003D5566">
        <w:rPr>
          <w:rFonts w:eastAsia="Calibri"/>
        </w:rPr>
        <w:t xml:space="preserve"> liable in a</w:t>
      </w:r>
      <w:r w:rsidR="00A77BD4">
        <w:rPr>
          <w:rFonts w:eastAsia="Calibri"/>
        </w:rPr>
        <w:t xml:space="preserve"> case where the detriment </w:t>
      </w:r>
      <w:r w:rsidR="003D5566">
        <w:rPr>
          <w:rFonts w:eastAsia="Calibri"/>
        </w:rPr>
        <w:t xml:space="preserve">amounts to dismissal.  </w:t>
      </w:r>
      <w:r w:rsidR="00DA1BCD">
        <w:rPr>
          <w:rFonts w:eastAsia="Calibri"/>
        </w:rPr>
        <w:t>Such a state of affairs produces the obvious anomalies iden</w:t>
      </w:r>
      <w:r w:rsidR="00625B5D">
        <w:rPr>
          <w:rFonts w:eastAsia="Calibri"/>
        </w:rPr>
        <w:t>tif</w:t>
      </w:r>
      <w:r w:rsidR="0059004B">
        <w:rPr>
          <w:rFonts w:eastAsia="Calibri"/>
        </w:rPr>
        <w:t xml:space="preserve">ied by </w:t>
      </w:r>
      <w:r w:rsidR="0043603B">
        <w:rPr>
          <w:rFonts w:eastAsia="Calibri"/>
        </w:rPr>
        <w:t>Simler P at paras. 156</w:t>
      </w:r>
      <w:r w:rsidR="00625B5D">
        <w:rPr>
          <w:rFonts w:eastAsia="Calibri"/>
        </w:rPr>
        <w:t>-158</w:t>
      </w:r>
      <w:r w:rsidR="00DA1BCD">
        <w:rPr>
          <w:rFonts w:eastAsia="Calibri"/>
        </w:rPr>
        <w:t xml:space="preserve"> of her judgment</w:t>
      </w:r>
      <w:r w:rsidR="00625B5D">
        <w:rPr>
          <w:rFonts w:eastAsia="Calibri"/>
        </w:rPr>
        <w:t xml:space="preserve"> – </w:t>
      </w:r>
      <w:r w:rsidR="0059004B">
        <w:rPr>
          <w:rFonts w:eastAsia="Calibri"/>
        </w:rPr>
        <w:t xml:space="preserve">namely, </w:t>
      </w:r>
      <w:r w:rsidR="00625B5D">
        <w:rPr>
          <w:rFonts w:eastAsia="Calibri"/>
        </w:rPr>
        <w:t>in s</w:t>
      </w:r>
      <w:r w:rsidR="00194BEA">
        <w:rPr>
          <w:rFonts w:eastAsia="Calibri"/>
        </w:rPr>
        <w:t>hort:</w:t>
      </w:r>
    </w:p>
    <w:p w:rsidR="00194BEA" w:rsidRDefault="002836F0" w:rsidP="00763FDB">
      <w:pPr>
        <w:pStyle w:val="ParaLevel1"/>
        <w:numPr>
          <w:ilvl w:val="0"/>
          <w:numId w:val="0"/>
        </w:numPr>
        <w:ind w:left="1287" w:hanging="567"/>
        <w:rPr>
          <w:rFonts w:eastAsia="Calibri"/>
        </w:rPr>
      </w:pPr>
      <w:r>
        <w:rPr>
          <w:rFonts w:eastAsia="Calibri"/>
        </w:rPr>
        <w:t xml:space="preserve">(a) </w:t>
      </w:r>
      <w:r w:rsidR="00194BEA">
        <w:rPr>
          <w:rFonts w:eastAsia="Calibri"/>
        </w:rPr>
        <w:tab/>
      </w:r>
      <w:r w:rsidR="00625B5D">
        <w:rPr>
          <w:rFonts w:eastAsia="Calibri"/>
        </w:rPr>
        <w:t xml:space="preserve">that </w:t>
      </w:r>
      <w:r w:rsidR="00AD3889">
        <w:rPr>
          <w:rFonts w:eastAsia="Calibri"/>
        </w:rPr>
        <w:t xml:space="preserve">co-workers whose </w:t>
      </w:r>
      <w:r w:rsidR="009F2E47">
        <w:rPr>
          <w:rFonts w:eastAsia="Calibri"/>
        </w:rPr>
        <w:t>unlawful</w:t>
      </w:r>
      <w:r w:rsidR="00167D42">
        <w:rPr>
          <w:rFonts w:eastAsia="Calibri"/>
        </w:rPr>
        <w:t>ly motivated</w:t>
      </w:r>
      <w:r w:rsidR="009F2E47">
        <w:rPr>
          <w:rFonts w:eastAsia="Calibri"/>
        </w:rPr>
        <w:t xml:space="preserve"> </w:t>
      </w:r>
      <w:r w:rsidR="00AD3889">
        <w:rPr>
          <w:rFonts w:eastAsia="Calibri"/>
        </w:rPr>
        <w:t xml:space="preserve">acts </w:t>
      </w:r>
      <w:r>
        <w:rPr>
          <w:rFonts w:eastAsia="Calibri"/>
        </w:rPr>
        <w:t xml:space="preserve">short of dismissal </w:t>
      </w:r>
      <w:r w:rsidR="009F2E47">
        <w:rPr>
          <w:rFonts w:eastAsia="Calibri"/>
        </w:rPr>
        <w:t xml:space="preserve">cause the claimant to be dismissed will be liable for </w:t>
      </w:r>
      <w:r w:rsidR="008F2747">
        <w:rPr>
          <w:rFonts w:eastAsia="Calibri"/>
        </w:rPr>
        <w:t>those acts (and, subject to the point considered at para</w:t>
      </w:r>
      <w:r w:rsidR="0059004B">
        <w:rPr>
          <w:rFonts w:eastAsia="Calibri"/>
        </w:rPr>
        <w:t>s</w:t>
      </w:r>
      <w:r w:rsidR="008F2747">
        <w:rPr>
          <w:rFonts w:eastAsia="Calibri"/>
        </w:rPr>
        <w:t xml:space="preserve">. </w:t>
      </w:r>
      <w:r w:rsidR="00DC3A80">
        <w:rPr>
          <w:rFonts w:eastAsia="Calibri"/>
        </w:rPr>
        <w:t>77</w:t>
      </w:r>
      <w:r w:rsidR="008F2747">
        <w:rPr>
          <w:rFonts w:eastAsia="Calibri"/>
        </w:rPr>
        <w:t>-</w:t>
      </w:r>
      <w:r w:rsidR="00DC3A80">
        <w:rPr>
          <w:rFonts w:eastAsia="Calibri"/>
        </w:rPr>
        <w:t>82</w:t>
      </w:r>
      <w:r w:rsidR="008F2747">
        <w:rPr>
          <w:rFonts w:eastAsia="Calibri"/>
        </w:rPr>
        <w:t xml:space="preserve"> below</w:t>
      </w:r>
      <w:r w:rsidR="003E1C1D">
        <w:rPr>
          <w:rFonts w:eastAsia="Calibri"/>
        </w:rPr>
        <w:t>,</w:t>
      </w:r>
      <w:r w:rsidR="008F2747">
        <w:rPr>
          <w:rFonts w:eastAsia="Calibri"/>
        </w:rPr>
        <w:t xml:space="preserve"> for compensation for the</w:t>
      </w:r>
      <w:r w:rsidR="00167D42">
        <w:rPr>
          <w:rFonts w:eastAsia="Calibri"/>
        </w:rPr>
        <w:t xml:space="preserve"> losses caused by the dismissal) while an individual with the same motivation who </w:t>
      </w:r>
      <w:r w:rsidR="00DC3A80">
        <w:rPr>
          <w:rFonts w:eastAsia="Calibri"/>
        </w:rPr>
        <w:t>decides on the actual dismissal</w:t>
      </w:r>
      <w:r w:rsidR="008C399E">
        <w:rPr>
          <w:rFonts w:eastAsia="Calibri"/>
        </w:rPr>
        <w:t xml:space="preserve"> escapes scot-free</w:t>
      </w:r>
      <w:r>
        <w:rPr>
          <w:rFonts w:eastAsia="Calibri"/>
        </w:rPr>
        <w:t xml:space="preserve">; and </w:t>
      </w:r>
    </w:p>
    <w:p w:rsidR="00387C94" w:rsidRDefault="002836F0" w:rsidP="00763FDB">
      <w:pPr>
        <w:pStyle w:val="ParaLevel1"/>
        <w:numPr>
          <w:ilvl w:val="0"/>
          <w:numId w:val="0"/>
        </w:numPr>
        <w:ind w:left="1287" w:hanging="567"/>
        <w:rPr>
          <w:rFonts w:eastAsia="Calibri"/>
        </w:rPr>
      </w:pPr>
      <w:r>
        <w:rPr>
          <w:rFonts w:eastAsia="Calibri"/>
        </w:rPr>
        <w:t xml:space="preserve">(b) </w:t>
      </w:r>
      <w:r w:rsidR="00194BEA">
        <w:rPr>
          <w:rFonts w:eastAsia="Calibri"/>
        </w:rPr>
        <w:tab/>
      </w:r>
      <w:r>
        <w:rPr>
          <w:rFonts w:eastAsia="Calibri"/>
        </w:rPr>
        <w:t>that there</w:t>
      </w:r>
      <w:r w:rsidR="00387C94">
        <w:rPr>
          <w:rFonts w:eastAsia="Calibri"/>
        </w:rPr>
        <w:t xml:space="preserve"> is no such bar to </w:t>
      </w:r>
      <w:r>
        <w:rPr>
          <w:rFonts w:eastAsia="Calibri"/>
        </w:rPr>
        <w:t xml:space="preserve">individual </w:t>
      </w:r>
      <w:r w:rsidR="00387C94">
        <w:rPr>
          <w:rFonts w:eastAsia="Calibri"/>
        </w:rPr>
        <w:t xml:space="preserve">liability in the case of a claimant who is </w:t>
      </w:r>
      <w:r w:rsidR="00DC3A80">
        <w:rPr>
          <w:rFonts w:eastAsia="Calibri"/>
        </w:rPr>
        <w:t>a worker rather than an</w:t>
      </w:r>
      <w:r w:rsidR="00387C94">
        <w:rPr>
          <w:rFonts w:eastAsia="Calibri"/>
        </w:rPr>
        <w:t xml:space="preserve"> employee and who has his or her contract of employment terminated, even though the two situations might be thought to be substantially identical.</w:t>
      </w:r>
    </w:p>
    <w:p w:rsidR="00D86467" w:rsidRDefault="0002591C" w:rsidP="00763FDB">
      <w:pPr>
        <w:pStyle w:val="ParaLevel1"/>
        <w:rPr>
          <w:rFonts w:eastAsia="Calibri"/>
        </w:rPr>
      </w:pPr>
      <w:r>
        <w:rPr>
          <w:rFonts w:eastAsia="Calibri"/>
        </w:rPr>
        <w:t xml:space="preserve">I would add that if Mr Stilitz were right </w:t>
      </w:r>
      <w:r w:rsidR="003D7216">
        <w:rPr>
          <w:rFonts w:eastAsia="Calibri"/>
        </w:rPr>
        <w:t xml:space="preserve">the scheme of </w:t>
      </w:r>
      <w:r>
        <w:rPr>
          <w:rFonts w:eastAsia="Calibri"/>
        </w:rPr>
        <w:t>protection for whistleblowers will be</w:t>
      </w:r>
      <w:r w:rsidR="003D7216">
        <w:rPr>
          <w:rFonts w:eastAsia="Calibri"/>
        </w:rPr>
        <w:t xml:space="preserve"> </w:t>
      </w:r>
      <w:r w:rsidR="009A4EA0">
        <w:rPr>
          <w:rFonts w:eastAsia="Calibri"/>
        </w:rPr>
        <w:t>less effective</w:t>
      </w:r>
      <w:r w:rsidR="003D7216">
        <w:rPr>
          <w:rFonts w:eastAsia="Calibri"/>
        </w:rPr>
        <w:t xml:space="preserve"> </w:t>
      </w:r>
      <w:r w:rsidR="003068E4">
        <w:rPr>
          <w:rFonts w:eastAsia="Calibri"/>
        </w:rPr>
        <w:t xml:space="preserve">than </w:t>
      </w:r>
      <w:r w:rsidR="003D7216">
        <w:rPr>
          <w:rFonts w:eastAsia="Calibri"/>
        </w:rPr>
        <w:t xml:space="preserve">for </w:t>
      </w:r>
      <w:r w:rsidR="00291DDC">
        <w:rPr>
          <w:rFonts w:eastAsia="Calibri"/>
        </w:rPr>
        <w:t xml:space="preserve">victims of </w:t>
      </w:r>
      <w:r w:rsidR="009A4EA0">
        <w:rPr>
          <w:rFonts w:eastAsia="Calibri"/>
        </w:rPr>
        <w:t xml:space="preserve">other kinds of </w:t>
      </w:r>
      <w:r w:rsidR="00291DDC">
        <w:rPr>
          <w:rFonts w:eastAsia="Calibri"/>
        </w:rPr>
        <w:t xml:space="preserve">discrimination </w:t>
      </w:r>
      <w:r w:rsidR="009A4EA0">
        <w:rPr>
          <w:rFonts w:eastAsia="Calibri"/>
        </w:rPr>
        <w:t xml:space="preserve">and victimisation </w:t>
      </w:r>
      <w:r w:rsidR="00291DDC">
        <w:rPr>
          <w:rFonts w:eastAsia="Calibri"/>
        </w:rPr>
        <w:t>at work</w:t>
      </w:r>
      <w:r w:rsidR="0054592F">
        <w:rPr>
          <w:rFonts w:eastAsia="Calibri"/>
        </w:rPr>
        <w:t xml:space="preserve">.  As noted at para. </w:t>
      </w:r>
      <w:r w:rsidR="00DC3A80">
        <w:rPr>
          <w:rFonts w:eastAsia="Calibri"/>
        </w:rPr>
        <w:t>33</w:t>
      </w:r>
      <w:r w:rsidR="0054592F">
        <w:rPr>
          <w:rFonts w:eastAsia="Calibri"/>
        </w:rPr>
        <w:t xml:space="preserve"> above, u</w:t>
      </w:r>
      <w:r w:rsidR="00291DDC">
        <w:rPr>
          <w:rFonts w:eastAsia="Calibri"/>
        </w:rPr>
        <w:t>nder the 2010 Act</w:t>
      </w:r>
      <w:r w:rsidR="0054592F">
        <w:rPr>
          <w:rFonts w:eastAsia="Calibri"/>
        </w:rPr>
        <w:t xml:space="preserve"> </w:t>
      </w:r>
      <w:r w:rsidR="00291DDC">
        <w:rPr>
          <w:rFonts w:eastAsia="Calibri"/>
        </w:rPr>
        <w:t>dismissal is simply another form of detriment for which both</w:t>
      </w:r>
      <w:r w:rsidR="00315A0E">
        <w:rPr>
          <w:rFonts w:eastAsia="Calibri"/>
        </w:rPr>
        <w:t xml:space="preserve"> the employer and any</w:t>
      </w:r>
      <w:r w:rsidR="00291DDC">
        <w:rPr>
          <w:rFonts w:eastAsia="Calibri"/>
        </w:rPr>
        <w:t xml:space="preserve"> responsible co-workers </w:t>
      </w:r>
      <w:r w:rsidR="00BA42DE">
        <w:rPr>
          <w:rFonts w:eastAsia="Calibri"/>
        </w:rPr>
        <w:t>a</w:t>
      </w:r>
      <w:r w:rsidR="00315A0E">
        <w:rPr>
          <w:rFonts w:eastAsia="Calibri"/>
        </w:rPr>
        <w:t xml:space="preserve">re </w:t>
      </w:r>
      <w:r w:rsidR="009042E7">
        <w:rPr>
          <w:rFonts w:eastAsia="Calibri"/>
        </w:rPr>
        <w:t>potentially</w:t>
      </w:r>
      <w:r w:rsidR="00315A0E">
        <w:rPr>
          <w:rFonts w:eastAsia="Calibri"/>
        </w:rPr>
        <w:t xml:space="preserve"> liable</w:t>
      </w:r>
      <w:r w:rsidR="00431268">
        <w:rPr>
          <w:rFonts w:eastAsia="Calibri"/>
        </w:rPr>
        <w:t>: c</w:t>
      </w:r>
      <w:r w:rsidR="00222106">
        <w:rPr>
          <w:rFonts w:eastAsia="Calibri"/>
        </w:rPr>
        <w:t xml:space="preserve">laims are commonly </w:t>
      </w:r>
      <w:r w:rsidR="009B4B6D">
        <w:rPr>
          <w:rFonts w:eastAsia="Calibri"/>
        </w:rPr>
        <w:t xml:space="preserve">brought </w:t>
      </w:r>
      <w:r w:rsidR="00222106">
        <w:rPr>
          <w:rFonts w:eastAsia="Calibri"/>
        </w:rPr>
        <w:t>against individuals</w:t>
      </w:r>
      <w:r w:rsidR="009B4B6D">
        <w:rPr>
          <w:rFonts w:eastAsia="Calibri"/>
        </w:rPr>
        <w:t xml:space="preserve"> as well as employers</w:t>
      </w:r>
      <w:r w:rsidR="003068E4">
        <w:rPr>
          <w:rFonts w:eastAsia="Calibri"/>
        </w:rPr>
        <w:t>,</w:t>
      </w:r>
      <w:r w:rsidR="009B4B6D">
        <w:rPr>
          <w:rFonts w:eastAsia="Calibri"/>
        </w:rPr>
        <w:t xml:space="preserve"> and occasionally </w:t>
      </w:r>
      <w:r w:rsidR="00431268">
        <w:rPr>
          <w:rFonts w:eastAsia="Calibri"/>
        </w:rPr>
        <w:t>it is the individual wh</w:t>
      </w:r>
      <w:r w:rsidR="00515E14">
        <w:rPr>
          <w:rFonts w:eastAsia="Calibri"/>
        </w:rPr>
        <w:t>o ends up having to pay, either because the employer is insolvent or because it has established a reasonable steps defence.</w:t>
      </w:r>
      <w:r w:rsidR="00663349">
        <w:rPr>
          <w:rStyle w:val="FootnoteReference"/>
          <w:rFonts w:eastAsia="Calibri"/>
        </w:rPr>
        <w:footnoteReference w:id="7"/>
      </w:r>
      <w:r w:rsidR="00515E14">
        <w:rPr>
          <w:rFonts w:eastAsia="Calibri"/>
        </w:rPr>
        <w:t xml:space="preserve">  </w:t>
      </w:r>
      <w:r w:rsidR="00315A0E">
        <w:rPr>
          <w:rFonts w:eastAsia="Calibri"/>
        </w:rPr>
        <w:t>That point is not in itself decisive</w:t>
      </w:r>
      <w:r w:rsidR="005D7BBF">
        <w:rPr>
          <w:rFonts w:eastAsia="Calibri"/>
        </w:rPr>
        <w:t xml:space="preserve"> </w:t>
      </w:r>
      <w:r w:rsidR="00315A0E">
        <w:rPr>
          <w:rFonts w:eastAsia="Calibri"/>
        </w:rPr>
        <w:t xml:space="preserve">because (again, as noted above) </w:t>
      </w:r>
      <w:r w:rsidR="002C5E37">
        <w:rPr>
          <w:rFonts w:eastAsia="Calibri"/>
        </w:rPr>
        <w:t xml:space="preserve">there is a limit to the extent to which it is right to try to assimilate the two schemes; but </w:t>
      </w:r>
      <w:r w:rsidR="004B7AEC">
        <w:rPr>
          <w:rFonts w:eastAsia="Calibri"/>
        </w:rPr>
        <w:t xml:space="preserve">the two situations are </w:t>
      </w:r>
      <w:r w:rsidR="0059004B">
        <w:rPr>
          <w:rFonts w:eastAsia="Calibri"/>
        </w:rPr>
        <w:t xml:space="preserve">nevertheless </w:t>
      </w:r>
      <w:r w:rsidR="004B7AEC">
        <w:rPr>
          <w:rFonts w:eastAsia="Calibri"/>
        </w:rPr>
        <w:t>essentially similar and</w:t>
      </w:r>
      <w:r w:rsidR="009042E7">
        <w:rPr>
          <w:rFonts w:eastAsia="Calibri"/>
        </w:rPr>
        <w:t>,</w:t>
      </w:r>
      <w:r w:rsidR="004B7AEC">
        <w:rPr>
          <w:rFonts w:eastAsia="Calibri"/>
        </w:rPr>
        <w:t xml:space="preserve"> other things being equal</w:t>
      </w:r>
      <w:r w:rsidR="009042E7">
        <w:rPr>
          <w:rFonts w:eastAsia="Calibri"/>
        </w:rPr>
        <w:t>,</w:t>
      </w:r>
      <w:r w:rsidR="004B7AEC">
        <w:rPr>
          <w:rFonts w:eastAsia="Calibri"/>
        </w:rPr>
        <w:t xml:space="preserve"> one would expect Parliament to </w:t>
      </w:r>
      <w:r w:rsidR="00594C64">
        <w:rPr>
          <w:rFonts w:eastAsia="Calibri"/>
        </w:rPr>
        <w:t xml:space="preserve">have intended </w:t>
      </w:r>
      <w:r w:rsidR="0059004B">
        <w:rPr>
          <w:rFonts w:eastAsia="Calibri"/>
        </w:rPr>
        <w:t xml:space="preserve">to follow </w:t>
      </w:r>
      <w:r w:rsidR="00594C64">
        <w:rPr>
          <w:rFonts w:eastAsia="Calibri"/>
        </w:rPr>
        <w:t>the same substantive approach</w:t>
      </w:r>
      <w:r w:rsidR="0059004B">
        <w:rPr>
          <w:rFonts w:eastAsia="Calibri"/>
        </w:rPr>
        <w:t xml:space="preserve"> in each</w:t>
      </w:r>
      <w:r w:rsidR="00594C64">
        <w:rPr>
          <w:rFonts w:eastAsia="Calibri"/>
        </w:rPr>
        <w:t xml:space="preserve">.  </w:t>
      </w:r>
    </w:p>
    <w:p w:rsidR="00DC3A80" w:rsidRDefault="005A4F03" w:rsidP="00763FDB">
      <w:pPr>
        <w:pStyle w:val="ParaLevel1"/>
        <w:rPr>
          <w:rFonts w:eastAsia="Calibri"/>
        </w:rPr>
      </w:pPr>
      <w:r w:rsidRPr="00404420">
        <w:rPr>
          <w:rFonts w:eastAsia="Calibri"/>
        </w:rPr>
        <w:t xml:space="preserve">Mr Stilitz’s </w:t>
      </w:r>
      <w:r w:rsidR="00404420">
        <w:rPr>
          <w:rFonts w:eastAsia="Calibri"/>
        </w:rPr>
        <w:t>principal answer</w:t>
      </w:r>
      <w:r w:rsidR="003068E4">
        <w:rPr>
          <w:rFonts w:eastAsia="Calibri"/>
        </w:rPr>
        <w:t xml:space="preserve"> is</w:t>
      </w:r>
      <w:r w:rsidR="00244A42">
        <w:rPr>
          <w:rFonts w:eastAsia="Calibri"/>
        </w:rPr>
        <w:t>, as we have seen,</w:t>
      </w:r>
      <w:r w:rsidR="003068E4">
        <w:rPr>
          <w:rFonts w:eastAsia="Calibri"/>
        </w:rPr>
        <w:t xml:space="preserve"> </w:t>
      </w:r>
      <w:r w:rsidR="00EC37F2">
        <w:rPr>
          <w:rFonts w:eastAsia="Calibri"/>
        </w:rPr>
        <w:t>that it is necessary to respect</w:t>
      </w:r>
      <w:r w:rsidR="00BA16EF">
        <w:rPr>
          <w:rFonts w:eastAsia="Calibri"/>
        </w:rPr>
        <w:t xml:space="preserve"> </w:t>
      </w:r>
      <w:r w:rsidR="004A620E">
        <w:rPr>
          <w:rFonts w:eastAsia="Calibri"/>
        </w:rPr>
        <w:t>Parliament</w:t>
      </w:r>
      <w:r w:rsidR="00BB1AD9">
        <w:rPr>
          <w:rFonts w:eastAsia="Calibri"/>
        </w:rPr>
        <w:t>’s decision to allocate</w:t>
      </w:r>
      <w:r w:rsidR="00986F01">
        <w:rPr>
          <w:rFonts w:eastAsia="Calibri"/>
        </w:rPr>
        <w:t xml:space="preserve"> different kinds of</w:t>
      </w:r>
      <w:r w:rsidR="004A620E">
        <w:rPr>
          <w:rFonts w:eastAsia="Calibri"/>
        </w:rPr>
        <w:t xml:space="preserve"> whistleblower rights </w:t>
      </w:r>
      <w:r w:rsidR="00986F01">
        <w:rPr>
          <w:rFonts w:eastAsia="Calibri"/>
        </w:rPr>
        <w:t>to</w:t>
      </w:r>
      <w:r w:rsidR="00E06A0C">
        <w:rPr>
          <w:rFonts w:eastAsia="Calibri"/>
        </w:rPr>
        <w:t xml:space="preserve"> Part</w:t>
      </w:r>
      <w:r w:rsidR="00986F01">
        <w:rPr>
          <w:rFonts w:eastAsia="Calibri"/>
        </w:rPr>
        <w:t xml:space="preserve"> V and </w:t>
      </w:r>
      <w:r w:rsidR="00E54636">
        <w:rPr>
          <w:rFonts w:eastAsia="Calibri"/>
        </w:rPr>
        <w:t xml:space="preserve">to Part </w:t>
      </w:r>
      <w:r w:rsidR="00E06A0C">
        <w:rPr>
          <w:rFonts w:eastAsia="Calibri"/>
        </w:rPr>
        <w:t>X</w:t>
      </w:r>
      <w:r w:rsidR="0008490D">
        <w:rPr>
          <w:rFonts w:eastAsia="Calibri"/>
        </w:rPr>
        <w:t xml:space="preserve"> of the 1996 Act</w:t>
      </w:r>
      <w:r w:rsidR="00BB1AD9">
        <w:rPr>
          <w:rFonts w:eastAsia="Calibri"/>
        </w:rPr>
        <w:t>.  In my view</w:t>
      </w:r>
      <w:r w:rsidR="009B0708">
        <w:rPr>
          <w:rFonts w:eastAsia="Calibri"/>
        </w:rPr>
        <w:t xml:space="preserve"> </w:t>
      </w:r>
      <w:r w:rsidR="002662A9">
        <w:rPr>
          <w:rFonts w:eastAsia="Calibri"/>
        </w:rPr>
        <w:t xml:space="preserve">that </w:t>
      </w:r>
      <w:r w:rsidR="00DC3A80">
        <w:rPr>
          <w:rFonts w:eastAsia="Calibri"/>
        </w:rPr>
        <w:t>distinction</w:t>
      </w:r>
      <w:r w:rsidR="00BB1AD9">
        <w:rPr>
          <w:rFonts w:eastAsia="Calibri"/>
        </w:rPr>
        <w:t xml:space="preserve"> </w:t>
      </w:r>
      <w:r w:rsidR="009B0708">
        <w:rPr>
          <w:rFonts w:eastAsia="Calibri"/>
        </w:rPr>
        <w:t>does not have the significance that he attaches to it</w:t>
      </w:r>
      <w:r w:rsidR="006624A1">
        <w:rPr>
          <w:rFonts w:eastAsia="Calibri"/>
        </w:rPr>
        <w:t xml:space="preserve">.  </w:t>
      </w:r>
      <w:r w:rsidR="008C2D01">
        <w:rPr>
          <w:rFonts w:eastAsia="Calibri"/>
        </w:rPr>
        <w:t>I deal first with the question of the overall sche</w:t>
      </w:r>
      <w:r w:rsidR="008E31AE">
        <w:rPr>
          <w:rFonts w:eastAsia="Calibri"/>
        </w:rPr>
        <w:t>me of the legislation and the ro</w:t>
      </w:r>
      <w:r w:rsidR="008C2D01">
        <w:rPr>
          <w:rFonts w:eastAsia="Calibri"/>
        </w:rPr>
        <w:t xml:space="preserve">le of section 47B within it.  </w:t>
      </w:r>
      <w:r w:rsidR="002062E4">
        <w:rPr>
          <w:rFonts w:eastAsia="Calibri"/>
        </w:rPr>
        <w:t>It is of course right that the two Parts constitute distinct and largely self-contained regimes</w:t>
      </w:r>
      <w:r w:rsidR="009B0708">
        <w:rPr>
          <w:rFonts w:eastAsia="Calibri"/>
        </w:rPr>
        <w:t>.  However,</w:t>
      </w:r>
      <w:r w:rsidR="002062E4">
        <w:rPr>
          <w:rFonts w:eastAsia="Calibri"/>
        </w:rPr>
        <w:t xml:space="preserve"> that simply reflects the separate and historica</w:t>
      </w:r>
      <w:r w:rsidR="00610DAC">
        <w:rPr>
          <w:rFonts w:eastAsia="Calibri"/>
        </w:rPr>
        <w:t>l</w:t>
      </w:r>
      <w:r w:rsidR="002062E4">
        <w:rPr>
          <w:rFonts w:eastAsia="Calibri"/>
        </w:rPr>
        <w:t>l</w:t>
      </w:r>
      <w:r w:rsidR="00610DAC">
        <w:rPr>
          <w:rFonts w:eastAsia="Calibri"/>
        </w:rPr>
        <w:t>y prior</w:t>
      </w:r>
      <w:r w:rsidR="002062E4">
        <w:rPr>
          <w:rFonts w:eastAsia="Calibri"/>
        </w:rPr>
        <w:t xml:space="preserve"> development of protection against unfair dismissal.  As </w:t>
      </w:r>
      <w:r w:rsidR="00DC3A80">
        <w:rPr>
          <w:rFonts w:eastAsia="Calibri"/>
        </w:rPr>
        <w:t>it</w:t>
      </w:r>
      <w:r w:rsidR="002062E4">
        <w:rPr>
          <w:rFonts w:eastAsia="Calibri"/>
        </w:rPr>
        <w:t xml:space="preserve"> </w:t>
      </w:r>
      <w:r w:rsidR="00AA4D4A">
        <w:rPr>
          <w:rFonts w:eastAsia="Calibri"/>
        </w:rPr>
        <w:t>came to be</w:t>
      </w:r>
      <w:r w:rsidR="002062E4">
        <w:rPr>
          <w:rFonts w:eastAsia="Calibri"/>
        </w:rPr>
        <w:t xml:space="preserve"> </w:t>
      </w:r>
      <w:r w:rsidR="00DC3A80">
        <w:rPr>
          <w:rFonts w:eastAsia="Calibri"/>
        </w:rPr>
        <w:t>recognised that treatment on certain proscribed grounds required</w:t>
      </w:r>
      <w:r w:rsidR="002062E4">
        <w:rPr>
          <w:rFonts w:eastAsia="Calibri"/>
        </w:rPr>
        <w:t xml:space="preserve"> additional protection, the choice </w:t>
      </w:r>
      <w:r w:rsidR="00A12CCB">
        <w:rPr>
          <w:rFonts w:eastAsia="Calibri"/>
        </w:rPr>
        <w:t xml:space="preserve">was made </w:t>
      </w:r>
      <w:r w:rsidR="002062E4">
        <w:rPr>
          <w:rFonts w:eastAsia="Calibri"/>
        </w:rPr>
        <w:t xml:space="preserve">not to disturb the existing unfair dismissal regime but to create </w:t>
      </w:r>
      <w:r w:rsidR="00E54636">
        <w:rPr>
          <w:rFonts w:eastAsia="Calibri"/>
        </w:rPr>
        <w:t>a complementary regime</w:t>
      </w:r>
      <w:r w:rsidR="002062E4">
        <w:rPr>
          <w:rFonts w:eastAsia="Calibri"/>
        </w:rPr>
        <w:t xml:space="preserve"> covering </w:t>
      </w:r>
      <w:r w:rsidR="00A12CCB">
        <w:rPr>
          <w:rFonts w:eastAsia="Calibri"/>
        </w:rPr>
        <w:t>detriments other than dismissal</w:t>
      </w:r>
      <w:r w:rsidR="002062E4">
        <w:rPr>
          <w:rFonts w:eastAsia="Calibri"/>
        </w:rPr>
        <w:t xml:space="preserve">.  But the different regimes </w:t>
      </w:r>
      <w:r w:rsidR="00B350C2">
        <w:rPr>
          <w:rFonts w:eastAsia="Calibri"/>
        </w:rPr>
        <w:t>address</w:t>
      </w:r>
      <w:r w:rsidR="002062E4">
        <w:rPr>
          <w:rFonts w:eastAsia="Calibri"/>
        </w:rPr>
        <w:t xml:space="preserve"> different aspects of the same mischiefs</w:t>
      </w:r>
      <w:r w:rsidR="00DC3A80">
        <w:rPr>
          <w:rFonts w:eastAsia="Calibri"/>
        </w:rPr>
        <w:t>;</w:t>
      </w:r>
      <w:r w:rsidR="002062E4">
        <w:rPr>
          <w:rFonts w:eastAsia="Calibri"/>
        </w:rPr>
        <w:t xml:space="preserve"> and, as I have shown,</w:t>
      </w:r>
      <w:r w:rsidR="003E1C1D">
        <w:rPr>
          <w:rFonts w:eastAsia="Calibri"/>
        </w:rPr>
        <w:t xml:space="preserve"> they</w:t>
      </w:r>
      <w:r w:rsidR="002062E4">
        <w:rPr>
          <w:rFonts w:eastAsia="Calibri"/>
        </w:rPr>
        <w:t xml:space="preserve"> mostly employ substantially the same drafting.  There is no reason to believe that </w:t>
      </w:r>
      <w:r w:rsidR="0059752C">
        <w:rPr>
          <w:rFonts w:eastAsia="Calibri"/>
        </w:rPr>
        <w:t xml:space="preserve">they reflect </w:t>
      </w:r>
      <w:r w:rsidR="002062E4">
        <w:rPr>
          <w:rFonts w:eastAsia="Calibri"/>
        </w:rPr>
        <w:t xml:space="preserve">any great </w:t>
      </w:r>
      <w:r w:rsidR="002662A9">
        <w:rPr>
          <w:rFonts w:eastAsia="Calibri"/>
        </w:rPr>
        <w:t xml:space="preserve">conceptual </w:t>
      </w:r>
      <w:r w:rsidR="002062E4">
        <w:rPr>
          <w:rFonts w:eastAsia="Calibri"/>
        </w:rPr>
        <w:t xml:space="preserve">gulf </w:t>
      </w:r>
      <w:r w:rsidR="0059752C">
        <w:rPr>
          <w:rFonts w:eastAsia="Calibri"/>
        </w:rPr>
        <w:t xml:space="preserve">perceived by Parliament </w:t>
      </w:r>
      <w:r w:rsidR="002062E4">
        <w:rPr>
          <w:rFonts w:eastAsia="Calibri"/>
        </w:rPr>
        <w:t>between dismissal and other kinds of detriment</w:t>
      </w:r>
      <w:r w:rsidR="006E2214">
        <w:rPr>
          <w:rFonts w:eastAsia="Calibri"/>
        </w:rPr>
        <w:t xml:space="preserve">.  </w:t>
      </w:r>
      <w:r w:rsidR="003E7586">
        <w:rPr>
          <w:rFonts w:eastAsia="Calibri"/>
        </w:rPr>
        <w:t xml:space="preserve">That being so, </w:t>
      </w:r>
      <w:r w:rsidR="00057BF5">
        <w:rPr>
          <w:rFonts w:eastAsia="Calibri"/>
        </w:rPr>
        <w:t xml:space="preserve">although anti-overlap provisions of the kind found in section 44 (4) were required in the interests of good order, </w:t>
      </w:r>
      <w:r w:rsidR="003E7586">
        <w:rPr>
          <w:rFonts w:eastAsia="Calibri"/>
        </w:rPr>
        <w:t xml:space="preserve">the policy behind </w:t>
      </w:r>
      <w:r w:rsidR="00A31B26">
        <w:rPr>
          <w:rFonts w:eastAsia="Calibri"/>
        </w:rPr>
        <w:t>them</w:t>
      </w:r>
      <w:r w:rsidR="003E7586">
        <w:rPr>
          <w:rFonts w:eastAsia="Calibri"/>
        </w:rPr>
        <w:t xml:space="preserve"> </w:t>
      </w:r>
      <w:r w:rsidR="00DC3A80">
        <w:rPr>
          <w:rFonts w:eastAsia="Calibri"/>
        </w:rPr>
        <w:t>is unlikely to have been anything more</w:t>
      </w:r>
      <w:r w:rsidR="00A31B26">
        <w:rPr>
          <w:rFonts w:eastAsia="Calibri"/>
        </w:rPr>
        <w:t xml:space="preserve"> than that </w:t>
      </w:r>
      <w:r w:rsidR="003E7586">
        <w:rPr>
          <w:rFonts w:eastAsia="Calibri"/>
        </w:rPr>
        <w:t>a claimant</w:t>
      </w:r>
      <w:r w:rsidR="00DC3A80">
        <w:rPr>
          <w:rFonts w:eastAsia="Calibri"/>
        </w:rPr>
        <w:t xml:space="preserve"> should not claim</w:t>
      </w:r>
      <w:r w:rsidR="003E7586">
        <w:rPr>
          <w:rFonts w:eastAsia="Calibri"/>
        </w:rPr>
        <w:t xml:space="preserve"> under Part V </w:t>
      </w:r>
      <w:r w:rsidR="00DC3A80">
        <w:rPr>
          <w:rFonts w:eastAsia="Calibri"/>
        </w:rPr>
        <w:t>where</w:t>
      </w:r>
      <w:r w:rsidR="00057BF5">
        <w:rPr>
          <w:rFonts w:eastAsia="Calibri"/>
        </w:rPr>
        <w:t xml:space="preserve"> the identical right wa</w:t>
      </w:r>
      <w:r w:rsidR="003E7586">
        <w:rPr>
          <w:rFonts w:eastAsia="Calibri"/>
        </w:rPr>
        <w:t xml:space="preserve">s available under Part X.  </w:t>
      </w:r>
    </w:p>
    <w:p w:rsidR="002062E4" w:rsidRPr="003E1C1D" w:rsidRDefault="009A317A" w:rsidP="00763FDB">
      <w:pPr>
        <w:pStyle w:val="ParaLevel1"/>
        <w:rPr>
          <w:rFonts w:eastAsia="Calibri"/>
        </w:rPr>
      </w:pPr>
      <w:r w:rsidRPr="003E1C1D">
        <w:rPr>
          <w:rFonts w:eastAsia="Calibri"/>
        </w:rPr>
        <w:t>The</w:t>
      </w:r>
      <w:r w:rsidR="000B06F9" w:rsidRPr="003E1C1D">
        <w:rPr>
          <w:rFonts w:eastAsia="Calibri"/>
        </w:rPr>
        <w:t xml:space="preserve">re is no reason to suppose that </w:t>
      </w:r>
      <w:r w:rsidR="003E1C1D" w:rsidRPr="003E1C1D">
        <w:rPr>
          <w:rFonts w:eastAsia="Calibri"/>
        </w:rPr>
        <w:t>th</w:t>
      </w:r>
      <w:r w:rsidR="00DC3A80" w:rsidRPr="003E1C1D">
        <w:rPr>
          <w:rFonts w:eastAsia="Calibri"/>
        </w:rPr>
        <w:t>at</w:t>
      </w:r>
      <w:r w:rsidR="003D0B6C" w:rsidRPr="003E1C1D">
        <w:rPr>
          <w:rFonts w:eastAsia="Calibri"/>
        </w:rPr>
        <w:t xml:space="preserve"> policy changed when in 1998 </w:t>
      </w:r>
      <w:r w:rsidR="00DC3A80" w:rsidRPr="003E1C1D">
        <w:rPr>
          <w:rFonts w:eastAsia="Calibri"/>
        </w:rPr>
        <w:t>statutory protection for</w:t>
      </w:r>
      <w:r w:rsidR="002062E4" w:rsidRPr="003E1C1D">
        <w:rPr>
          <w:rFonts w:eastAsia="Calibri"/>
        </w:rPr>
        <w:t xml:space="preserve"> whistleblowers </w:t>
      </w:r>
      <w:r w:rsidR="003D0B6C" w:rsidRPr="003E1C1D">
        <w:rPr>
          <w:rFonts w:eastAsia="Calibri"/>
        </w:rPr>
        <w:t>was incorporated into th</w:t>
      </w:r>
      <w:r w:rsidR="000320FF" w:rsidRPr="003E1C1D">
        <w:rPr>
          <w:rFonts w:eastAsia="Calibri"/>
        </w:rPr>
        <w:t>e</w:t>
      </w:r>
      <w:r w:rsidR="003E1C1D" w:rsidRPr="003E1C1D">
        <w:rPr>
          <w:rFonts w:eastAsia="Calibri"/>
        </w:rPr>
        <w:t xml:space="preserve"> existing</w:t>
      </w:r>
      <w:r w:rsidR="000320FF" w:rsidRPr="003E1C1D">
        <w:rPr>
          <w:rFonts w:eastAsia="Calibri"/>
        </w:rPr>
        <w:t xml:space="preserve"> structure</w:t>
      </w:r>
      <w:r w:rsidR="000320FF">
        <w:rPr>
          <w:rStyle w:val="FootnoteReference"/>
          <w:rFonts w:eastAsia="Calibri"/>
        </w:rPr>
        <w:footnoteReference w:id="8"/>
      </w:r>
      <w:r w:rsidR="009E2630" w:rsidRPr="003E1C1D">
        <w:rPr>
          <w:rFonts w:eastAsia="Calibri"/>
        </w:rPr>
        <w:t>; and indeed the preservation</w:t>
      </w:r>
      <w:r w:rsidR="00C229E6" w:rsidRPr="003E1C1D">
        <w:rPr>
          <w:rFonts w:eastAsia="Calibri"/>
        </w:rPr>
        <w:t xml:space="preserve"> in section 47B (2)</w:t>
      </w:r>
      <w:r w:rsidR="009E2630" w:rsidRPr="003E1C1D">
        <w:rPr>
          <w:rFonts w:eastAsia="Calibri"/>
        </w:rPr>
        <w:t xml:space="preserve">, albeit for a short time, of the </w:t>
      </w:r>
      <w:r w:rsidR="00C229E6" w:rsidRPr="003E1C1D">
        <w:rPr>
          <w:rFonts w:eastAsia="Calibri"/>
        </w:rPr>
        <w:t>exception for f</w:t>
      </w:r>
      <w:r w:rsidR="00DC3A80" w:rsidRPr="003E1C1D">
        <w:rPr>
          <w:rFonts w:eastAsia="Calibri"/>
        </w:rPr>
        <w:t>ixed-term employees (see para. 23</w:t>
      </w:r>
      <w:r w:rsidR="00C229E6" w:rsidRPr="003E1C1D">
        <w:rPr>
          <w:rFonts w:eastAsia="Calibri"/>
        </w:rPr>
        <w:t xml:space="preserve"> above) shows that it did not.  </w:t>
      </w:r>
      <w:r w:rsidR="00A85DC6" w:rsidRPr="003E1C1D">
        <w:rPr>
          <w:rFonts w:eastAsia="Calibri"/>
        </w:rPr>
        <w:t>No more can I see any reason to sup</w:t>
      </w:r>
      <w:r w:rsidR="003E1C1D">
        <w:rPr>
          <w:rFonts w:eastAsia="Calibri"/>
        </w:rPr>
        <w:t>pose that the</w:t>
      </w:r>
      <w:r w:rsidR="00A85DC6" w:rsidRPr="003E1C1D">
        <w:rPr>
          <w:rFonts w:eastAsia="Calibri"/>
        </w:rPr>
        <w:t xml:space="preserve"> policy </w:t>
      </w:r>
      <w:r w:rsidR="00565DD9" w:rsidRPr="003E1C1D">
        <w:rPr>
          <w:rFonts w:eastAsia="Calibri"/>
        </w:rPr>
        <w:t>was affected by</w:t>
      </w:r>
      <w:r w:rsidR="007C78FF" w:rsidRPr="003E1C1D">
        <w:rPr>
          <w:rFonts w:eastAsia="Calibri"/>
        </w:rPr>
        <w:t xml:space="preserve"> the changes made by the 2013 Act.  That is, </w:t>
      </w:r>
      <w:r w:rsidR="007A1CFA" w:rsidRPr="003E1C1D">
        <w:rPr>
          <w:rFonts w:eastAsia="Calibri"/>
        </w:rPr>
        <w:t xml:space="preserve">I see no </w:t>
      </w:r>
      <w:r w:rsidR="000801FD">
        <w:rPr>
          <w:rFonts w:eastAsia="Calibri"/>
        </w:rPr>
        <w:t>basis</w:t>
      </w:r>
      <w:r w:rsidR="005C6876" w:rsidRPr="003E1C1D">
        <w:rPr>
          <w:rFonts w:eastAsia="Calibri"/>
        </w:rPr>
        <w:t xml:space="preserve"> for thinking that the introduction of individual liability </w:t>
      </w:r>
      <w:r w:rsidR="0049225D" w:rsidRPr="003E1C1D">
        <w:rPr>
          <w:rFonts w:eastAsia="Calibri"/>
        </w:rPr>
        <w:t>meant that, for the first time, s</w:t>
      </w:r>
      <w:r w:rsidR="00CC101A" w:rsidRPr="003E1C1D">
        <w:rPr>
          <w:rFonts w:eastAsia="Calibri"/>
        </w:rPr>
        <w:t>ub-</w:t>
      </w:r>
      <w:r w:rsidR="00216B55" w:rsidRPr="003E1C1D">
        <w:rPr>
          <w:rFonts w:eastAsia="Calibri"/>
        </w:rPr>
        <w:t>s</w:t>
      </w:r>
      <w:r w:rsidR="0049225D" w:rsidRPr="003E1C1D">
        <w:rPr>
          <w:rFonts w:eastAsia="Calibri"/>
        </w:rPr>
        <w:t>ection (2) –</w:t>
      </w:r>
      <w:r w:rsidR="00CC101A" w:rsidRPr="003E1C1D">
        <w:rPr>
          <w:rFonts w:eastAsia="Calibri"/>
        </w:rPr>
        <w:t xml:space="preserve"> the lang</w:t>
      </w:r>
      <w:r w:rsidR="0049225D" w:rsidRPr="003E1C1D">
        <w:rPr>
          <w:rFonts w:eastAsia="Calibri"/>
        </w:rPr>
        <w:t xml:space="preserve">uage of which was unchanged </w:t>
      </w:r>
      <w:r w:rsidR="00CC101A" w:rsidRPr="003E1C1D">
        <w:rPr>
          <w:rFonts w:eastAsia="Calibri"/>
        </w:rPr>
        <w:t>–</w:t>
      </w:r>
      <w:r w:rsidR="0049225D" w:rsidRPr="003E1C1D">
        <w:rPr>
          <w:rFonts w:eastAsia="Calibri"/>
        </w:rPr>
        <w:t xml:space="preserve"> </w:t>
      </w:r>
      <w:r w:rsidR="00CC101A" w:rsidRPr="003E1C1D">
        <w:rPr>
          <w:rFonts w:eastAsia="Calibri"/>
        </w:rPr>
        <w:t>was intended to exclude a liability w</w:t>
      </w:r>
      <w:r w:rsidR="003E1C1D">
        <w:rPr>
          <w:rFonts w:eastAsia="Calibri"/>
        </w:rPr>
        <w:t>hich would</w:t>
      </w:r>
      <w:r w:rsidR="00CC101A" w:rsidRPr="003E1C1D">
        <w:rPr>
          <w:rFonts w:eastAsia="Calibri"/>
        </w:rPr>
        <w:t xml:space="preserve"> arise under the other provisions of the section </w:t>
      </w:r>
      <w:r w:rsidR="00663062">
        <w:rPr>
          <w:rFonts w:eastAsia="Calibri"/>
        </w:rPr>
        <w:t>but which was not provided for</w:t>
      </w:r>
      <w:r w:rsidR="00216B55" w:rsidRPr="003E1C1D">
        <w:rPr>
          <w:rFonts w:eastAsia="Calibri"/>
        </w:rPr>
        <w:t xml:space="preserve"> by section 103A.  </w:t>
      </w:r>
    </w:p>
    <w:p w:rsidR="003E1C1D" w:rsidRDefault="00D20E21" w:rsidP="00763FDB">
      <w:pPr>
        <w:pStyle w:val="ParaLevel1"/>
        <w:rPr>
          <w:rFonts w:eastAsia="Calibri"/>
        </w:rPr>
      </w:pPr>
      <w:r>
        <w:rPr>
          <w:rFonts w:eastAsia="Calibri"/>
        </w:rPr>
        <w:t xml:space="preserve">As for the two more specific points </w:t>
      </w:r>
      <w:r w:rsidR="00F73B23">
        <w:rPr>
          <w:rFonts w:eastAsia="Calibri"/>
        </w:rPr>
        <w:t>ide</w:t>
      </w:r>
      <w:r w:rsidR="00DC3A80">
        <w:rPr>
          <w:rFonts w:eastAsia="Calibri"/>
        </w:rPr>
        <w:t>ntified at para. 64</w:t>
      </w:r>
      <w:r w:rsidR="00F73B23">
        <w:rPr>
          <w:rFonts w:eastAsia="Calibri"/>
        </w:rPr>
        <w:t xml:space="preserve"> above</w:t>
      </w:r>
      <w:r>
        <w:rPr>
          <w:rFonts w:eastAsia="Calibri"/>
        </w:rPr>
        <w:t xml:space="preserve">, I </w:t>
      </w:r>
      <w:r w:rsidR="003E1C1D">
        <w:rPr>
          <w:rFonts w:eastAsia="Calibri"/>
        </w:rPr>
        <w:t>was</w:t>
      </w:r>
      <w:r>
        <w:rPr>
          <w:rFonts w:eastAsia="Calibri"/>
        </w:rPr>
        <w:t xml:space="preserve"> initi</w:t>
      </w:r>
      <w:r w:rsidR="001F6472">
        <w:rPr>
          <w:rFonts w:eastAsia="Calibri"/>
        </w:rPr>
        <w:t xml:space="preserve">ally rather troubled by these.  </w:t>
      </w:r>
      <w:r w:rsidR="004170B4">
        <w:rPr>
          <w:rFonts w:eastAsia="Calibri"/>
        </w:rPr>
        <w:t xml:space="preserve">It seems clear that the draftsman’s overall intention was that </w:t>
      </w:r>
      <w:r w:rsidR="00E16A87">
        <w:rPr>
          <w:rFonts w:eastAsia="Calibri"/>
        </w:rPr>
        <w:t>the rights</w:t>
      </w:r>
      <w:r w:rsidR="003933CF">
        <w:rPr>
          <w:rFonts w:eastAsia="Calibri"/>
        </w:rPr>
        <w:t xml:space="preserve"> under Part V and Part X would </w:t>
      </w:r>
      <w:r w:rsidR="00E16A87">
        <w:rPr>
          <w:rFonts w:eastAsia="Calibri"/>
        </w:rPr>
        <w:t>be so far as possible parallel, albeit that employees who had been unfairly d</w:t>
      </w:r>
      <w:r w:rsidR="00B46B45">
        <w:rPr>
          <w:rFonts w:eastAsia="Calibri"/>
        </w:rPr>
        <w:t xml:space="preserve">ismissed would enjoy </w:t>
      </w:r>
      <w:r w:rsidR="00DC3A80">
        <w:rPr>
          <w:rFonts w:eastAsia="Calibri"/>
        </w:rPr>
        <w:t xml:space="preserve">the additional remedies available under sections 113 (reinstatement/re-engagement) and 119 (basic award): </w:t>
      </w:r>
      <w:r w:rsidR="00071E77">
        <w:rPr>
          <w:rFonts w:eastAsia="Calibri"/>
        </w:rPr>
        <w:t>t</w:t>
      </w:r>
      <w:r w:rsidR="00B46B45">
        <w:rPr>
          <w:rFonts w:eastAsia="Calibri"/>
        </w:rPr>
        <w:t>hat is why</w:t>
      </w:r>
      <w:r w:rsidR="00071E77">
        <w:rPr>
          <w:rFonts w:eastAsia="Calibri"/>
        </w:rPr>
        <w:t>, for example,</w:t>
      </w:r>
      <w:r w:rsidR="00B46B45">
        <w:rPr>
          <w:rFonts w:eastAsia="Calibri"/>
        </w:rPr>
        <w:t xml:space="preserve"> the compensation provisions in the two Parts are i</w:t>
      </w:r>
      <w:r w:rsidR="00071E77">
        <w:rPr>
          <w:rFonts w:eastAsia="Calibri"/>
        </w:rPr>
        <w:t>n substantially identical terms.  Against that background the two points identified by Mr St</w:t>
      </w:r>
      <w:r w:rsidR="00180002">
        <w:rPr>
          <w:rFonts w:eastAsia="Calibri"/>
        </w:rPr>
        <w:t>i</w:t>
      </w:r>
      <w:r w:rsidR="00071E77">
        <w:rPr>
          <w:rFonts w:eastAsia="Calibri"/>
        </w:rPr>
        <w:t xml:space="preserve">litz are indeed anomalies.  </w:t>
      </w:r>
      <w:r w:rsidR="00977569">
        <w:rPr>
          <w:rFonts w:eastAsia="Calibri"/>
        </w:rPr>
        <w:t xml:space="preserve">But in the end I am not persuaded that they </w:t>
      </w:r>
      <w:r w:rsidR="006C15BB">
        <w:rPr>
          <w:rFonts w:eastAsia="Calibri"/>
        </w:rPr>
        <w:t xml:space="preserve">undermine my </w:t>
      </w:r>
      <w:r w:rsidR="00977569">
        <w:rPr>
          <w:rFonts w:eastAsia="Calibri"/>
        </w:rPr>
        <w:t xml:space="preserve">analysis. </w:t>
      </w:r>
      <w:r w:rsidR="006F350F">
        <w:rPr>
          <w:rFonts w:eastAsia="Calibri"/>
        </w:rPr>
        <w:t xml:space="preserve"> </w:t>
      </w:r>
      <w:r w:rsidR="00180002">
        <w:rPr>
          <w:rFonts w:eastAsia="Calibri"/>
        </w:rPr>
        <w:t xml:space="preserve">They represent particular </w:t>
      </w:r>
      <w:r w:rsidR="006F350F">
        <w:rPr>
          <w:rFonts w:eastAsia="Calibri"/>
        </w:rPr>
        <w:t>wrinkles</w:t>
      </w:r>
      <w:r w:rsidR="00180002">
        <w:rPr>
          <w:rFonts w:eastAsia="Calibri"/>
        </w:rPr>
        <w:t xml:space="preserve"> in </w:t>
      </w:r>
      <w:r w:rsidR="006F350F">
        <w:rPr>
          <w:rFonts w:eastAsia="Calibri"/>
        </w:rPr>
        <w:t>the scheme of the Act</w:t>
      </w:r>
      <w:r w:rsidR="00C236A8">
        <w:rPr>
          <w:rFonts w:eastAsia="Calibri"/>
        </w:rPr>
        <w:t xml:space="preserve"> without, so far as I can see, any wider significance.  As to the availability of compensation for injury to feelings, </w:t>
      </w:r>
      <w:r w:rsidR="00C0055B">
        <w:rPr>
          <w:rFonts w:eastAsia="Calibri"/>
        </w:rPr>
        <w:t>there is no indication that the draftsman had focused on this question at all</w:t>
      </w:r>
      <w:r w:rsidR="00510657">
        <w:rPr>
          <w:rFonts w:eastAsia="Calibri"/>
        </w:rPr>
        <w:t xml:space="preserve">.  As </w:t>
      </w:r>
      <w:r w:rsidR="00A9526B">
        <w:rPr>
          <w:rFonts w:eastAsia="Calibri"/>
        </w:rPr>
        <w:t xml:space="preserve">for the different tests of causation, this too may have been inadvertent; or the draftsman may simply have taken the view that the difference would rarely matter in practice and </w:t>
      </w:r>
      <w:r w:rsidR="00FA1183">
        <w:rPr>
          <w:rFonts w:eastAsia="Calibri"/>
        </w:rPr>
        <w:t>that it would be too difficult to find a way of assimil</w:t>
      </w:r>
      <w:r w:rsidR="00B3127F">
        <w:rPr>
          <w:rFonts w:eastAsia="Calibri"/>
        </w:rPr>
        <w:t>ating the two tests.</w:t>
      </w:r>
      <w:r w:rsidR="00DC3A80">
        <w:rPr>
          <w:rFonts w:eastAsia="Calibri"/>
        </w:rPr>
        <w:t xml:space="preserve">  I accept that it might </w:t>
      </w:r>
      <w:r w:rsidR="00FA1183">
        <w:rPr>
          <w:rFonts w:eastAsia="Calibri"/>
        </w:rPr>
        <w:t xml:space="preserve">be said that if the subsequent case-law – </w:t>
      </w:r>
      <w:r w:rsidR="00FA1183" w:rsidRPr="00FA1183">
        <w:rPr>
          <w:rFonts w:eastAsia="Calibri"/>
          <w:i/>
        </w:rPr>
        <w:t>Virgo Fidelis</w:t>
      </w:r>
      <w:r w:rsidR="00FA1183">
        <w:rPr>
          <w:rFonts w:eastAsia="Calibri"/>
        </w:rPr>
        <w:t xml:space="preserve"> and </w:t>
      </w:r>
      <w:r w:rsidR="00FA1183" w:rsidRPr="00FA1183">
        <w:rPr>
          <w:rFonts w:eastAsia="Calibri"/>
          <w:i/>
        </w:rPr>
        <w:t xml:space="preserve">Dunnachie </w:t>
      </w:r>
      <w:r w:rsidR="00EB3E99">
        <w:rPr>
          <w:rFonts w:eastAsia="Calibri"/>
        </w:rPr>
        <w:t>in the on</w:t>
      </w:r>
      <w:r w:rsidR="00FA1183">
        <w:rPr>
          <w:rFonts w:eastAsia="Calibri"/>
        </w:rPr>
        <w:t xml:space="preserve">e </w:t>
      </w:r>
      <w:r w:rsidR="00EB3E99">
        <w:rPr>
          <w:rFonts w:eastAsia="Calibri"/>
        </w:rPr>
        <w:t xml:space="preserve">case and Elias LJ’s observations in </w:t>
      </w:r>
      <w:r w:rsidR="00EB3E99" w:rsidRPr="00B3127F">
        <w:rPr>
          <w:rFonts w:eastAsia="Calibri"/>
          <w:i/>
        </w:rPr>
        <w:t>Fecitt</w:t>
      </w:r>
      <w:r w:rsidR="0059004B">
        <w:rPr>
          <w:rFonts w:eastAsia="Calibri"/>
        </w:rPr>
        <w:t xml:space="preserve"> i</w:t>
      </w:r>
      <w:r w:rsidR="00DC3A80">
        <w:rPr>
          <w:rFonts w:eastAsia="Calibri"/>
        </w:rPr>
        <w:t>n the other (see para. 54</w:t>
      </w:r>
      <w:r w:rsidR="00EB3E99">
        <w:rPr>
          <w:rFonts w:eastAsia="Calibri"/>
        </w:rPr>
        <w:t xml:space="preserve"> above) – had not reflected Parliament’s intention the opportunity could have been taken </w:t>
      </w:r>
      <w:r w:rsidR="00B3127F">
        <w:rPr>
          <w:rFonts w:eastAsia="Calibri"/>
        </w:rPr>
        <w:t>in 2013 to make any necessary adjustments</w:t>
      </w:r>
      <w:r w:rsidR="00DC3A80">
        <w:rPr>
          <w:rFonts w:eastAsia="Calibri"/>
        </w:rPr>
        <w:t>.  B</w:t>
      </w:r>
      <w:r w:rsidR="008D78D9">
        <w:rPr>
          <w:rFonts w:eastAsia="Calibri"/>
        </w:rPr>
        <w:t xml:space="preserve">ut that is not always a safe assumption.  </w:t>
      </w:r>
    </w:p>
    <w:p w:rsidR="008528B7" w:rsidRDefault="008D78D9" w:rsidP="00763FDB">
      <w:pPr>
        <w:pStyle w:val="ParaLevel1"/>
        <w:rPr>
          <w:rFonts w:eastAsia="Calibri"/>
        </w:rPr>
      </w:pPr>
      <w:r>
        <w:rPr>
          <w:rFonts w:eastAsia="Calibri"/>
        </w:rPr>
        <w:t>In any event these anomalies – intentional or not – are only of significance for our purpose</w:t>
      </w:r>
      <w:r w:rsidR="00FA787D">
        <w:rPr>
          <w:rFonts w:eastAsia="Calibri"/>
        </w:rPr>
        <w:t>s</w:t>
      </w:r>
      <w:r>
        <w:rPr>
          <w:rFonts w:eastAsia="Calibri"/>
        </w:rPr>
        <w:t xml:space="preserve"> if </w:t>
      </w:r>
      <w:r w:rsidR="00FA787D">
        <w:rPr>
          <w:rFonts w:eastAsia="Calibri"/>
        </w:rPr>
        <w:t xml:space="preserve">they suggest that there </w:t>
      </w:r>
      <w:r w:rsidR="00DC3A80">
        <w:rPr>
          <w:rFonts w:eastAsia="Calibri"/>
        </w:rPr>
        <w:t>w</w:t>
      </w:r>
      <w:r w:rsidR="00FA787D">
        <w:rPr>
          <w:rFonts w:eastAsia="Calibri"/>
        </w:rPr>
        <w:t xml:space="preserve">as a positive statutory intention that </w:t>
      </w:r>
      <w:r w:rsidR="0002544B">
        <w:rPr>
          <w:rFonts w:eastAsia="Calibri"/>
        </w:rPr>
        <w:t>no</w:t>
      </w:r>
      <w:r w:rsidR="003E1C1D">
        <w:rPr>
          <w:rFonts w:eastAsia="Calibri"/>
        </w:rPr>
        <w:t xml:space="preserve"> claim</w:t>
      </w:r>
      <w:r w:rsidR="008A3B5D">
        <w:rPr>
          <w:rFonts w:eastAsia="Calibri"/>
        </w:rPr>
        <w:t xml:space="preserve"> </w:t>
      </w:r>
      <w:r w:rsidR="0059004B">
        <w:rPr>
          <w:rFonts w:eastAsia="Calibri"/>
        </w:rPr>
        <w:t xml:space="preserve">could be </w:t>
      </w:r>
      <w:r w:rsidR="008A3B5D">
        <w:rPr>
          <w:rFonts w:eastAsia="Calibri"/>
        </w:rPr>
        <w:t xml:space="preserve">advanced under section 47B </w:t>
      </w:r>
      <w:r w:rsidR="0050280F">
        <w:rPr>
          <w:rFonts w:eastAsia="Calibri"/>
        </w:rPr>
        <w:t xml:space="preserve">where the detriment </w:t>
      </w:r>
      <w:r w:rsidR="008A3B5D">
        <w:rPr>
          <w:rFonts w:eastAsia="Calibri"/>
        </w:rPr>
        <w:t>t</w:t>
      </w:r>
      <w:r w:rsidR="0050280F">
        <w:rPr>
          <w:rFonts w:eastAsia="Calibri"/>
        </w:rPr>
        <w:t>ook the form of dismissal</w:t>
      </w:r>
      <w:r w:rsidR="008A3B5D">
        <w:rPr>
          <w:rFonts w:eastAsia="Calibri"/>
        </w:rPr>
        <w:t>, even if it could not be advanced under section 103A</w:t>
      </w:r>
      <w:r w:rsidR="0002544B">
        <w:rPr>
          <w:rFonts w:eastAsia="Calibri"/>
        </w:rPr>
        <w:t xml:space="preserve">.  I do not believe that they do.  I would add, as regards </w:t>
      </w:r>
      <w:r w:rsidR="00CD4A8C">
        <w:rPr>
          <w:rFonts w:eastAsia="Calibri"/>
        </w:rPr>
        <w:t>compensation</w:t>
      </w:r>
      <w:r w:rsidR="00DC3A80">
        <w:rPr>
          <w:rFonts w:eastAsia="Calibri"/>
        </w:rPr>
        <w:t xml:space="preserve"> for</w:t>
      </w:r>
      <w:r w:rsidR="00CD4A8C">
        <w:rPr>
          <w:rFonts w:eastAsia="Calibri"/>
        </w:rPr>
        <w:t xml:space="preserve"> </w:t>
      </w:r>
      <w:r w:rsidR="0002544B">
        <w:rPr>
          <w:rFonts w:eastAsia="Calibri"/>
        </w:rPr>
        <w:t>injury to feelings, that</w:t>
      </w:r>
      <w:r w:rsidR="00CD4A8C">
        <w:rPr>
          <w:rFonts w:eastAsia="Calibri"/>
        </w:rPr>
        <w:t xml:space="preserve">, </w:t>
      </w:r>
      <w:r w:rsidR="00B05AEB">
        <w:rPr>
          <w:rFonts w:eastAsia="Calibri"/>
        </w:rPr>
        <w:t xml:space="preserve">but for the mismatch with </w:t>
      </w:r>
      <w:r w:rsidR="00B05AEB" w:rsidRPr="00CD4A8C">
        <w:rPr>
          <w:rFonts w:eastAsia="Calibri"/>
          <w:i/>
        </w:rPr>
        <w:t>Dunnachie</w:t>
      </w:r>
      <w:r w:rsidR="00B05AEB">
        <w:rPr>
          <w:rFonts w:eastAsia="Calibri"/>
        </w:rPr>
        <w:t xml:space="preserve">, </w:t>
      </w:r>
      <w:r w:rsidR="0002544B">
        <w:rPr>
          <w:rFonts w:eastAsia="Calibri"/>
        </w:rPr>
        <w:t xml:space="preserve">there is nothing surprising </w:t>
      </w:r>
      <w:r w:rsidR="00CD4A8C">
        <w:rPr>
          <w:rFonts w:eastAsia="Calibri"/>
        </w:rPr>
        <w:t xml:space="preserve">about such compensation being available </w:t>
      </w:r>
      <w:r w:rsidR="00997A8C">
        <w:rPr>
          <w:rFonts w:eastAsia="Calibri"/>
        </w:rPr>
        <w:t xml:space="preserve">in a case where the detriment takes the form of dismissal.  It </w:t>
      </w:r>
      <w:r w:rsidR="00663062">
        <w:rPr>
          <w:rFonts w:eastAsia="Calibri"/>
        </w:rPr>
        <w:t>has always been understood to be</w:t>
      </w:r>
      <w:r w:rsidR="00997A8C">
        <w:rPr>
          <w:rFonts w:eastAsia="Calibri"/>
        </w:rPr>
        <w:t xml:space="preserve"> available for detriments other than dismissal</w:t>
      </w:r>
      <w:r w:rsidR="00BD5105">
        <w:rPr>
          <w:rFonts w:eastAsia="Calibri"/>
        </w:rPr>
        <w:t xml:space="preserve">, and it is also </w:t>
      </w:r>
      <w:r w:rsidR="0059004B">
        <w:rPr>
          <w:rFonts w:eastAsia="Calibri"/>
        </w:rPr>
        <w:t>available</w:t>
      </w:r>
      <w:r w:rsidR="00BD5105">
        <w:rPr>
          <w:rFonts w:eastAsia="Calibri"/>
        </w:rPr>
        <w:t xml:space="preserve"> in the case of discriminatory dismissals under the 2010 Act.  </w:t>
      </w:r>
      <w:r w:rsidR="007213DB">
        <w:rPr>
          <w:rFonts w:eastAsia="Calibri"/>
        </w:rPr>
        <w:t>It might indeed be thought that the real anomaly was that it was not available in a claim under section 103A, in which case it is an advantage of my construction that it mitigates that anomaly.</w:t>
      </w:r>
    </w:p>
    <w:p w:rsidR="00F84664" w:rsidRPr="00B93AD3" w:rsidRDefault="00F84664" w:rsidP="00763FDB">
      <w:pPr>
        <w:pStyle w:val="ParaLevel1"/>
        <w:rPr>
          <w:rFonts w:eastAsia="Calibri"/>
        </w:rPr>
      </w:pPr>
      <w:r w:rsidRPr="00B93AD3">
        <w:rPr>
          <w:rFonts w:eastAsia="Calibri"/>
        </w:rPr>
        <w:t xml:space="preserve">Mr Stilitz is not right to say that allowing individual liability under section 47B (1A), with the </w:t>
      </w:r>
      <w:r w:rsidR="004B2DA5">
        <w:rPr>
          <w:rFonts w:eastAsia="Calibri"/>
        </w:rPr>
        <w:t xml:space="preserve">consequence that </w:t>
      </w:r>
      <w:r w:rsidRPr="00B93AD3">
        <w:rPr>
          <w:rFonts w:eastAsia="Calibri"/>
        </w:rPr>
        <w:t xml:space="preserve">the employer </w:t>
      </w:r>
      <w:r w:rsidR="004B2DA5">
        <w:rPr>
          <w:rFonts w:eastAsia="Calibri"/>
        </w:rPr>
        <w:t>is</w:t>
      </w:r>
      <w:r w:rsidRPr="00B93AD3">
        <w:rPr>
          <w:rFonts w:eastAsia="Calibri"/>
        </w:rPr>
        <w:t xml:space="preserve"> vicariously liable under sub-section (1B), will mean that section 103A becomes a dead letter.  Employees who claim to have been dismissed on whistleblower grounds </w:t>
      </w:r>
      <w:r w:rsidR="00100520">
        <w:rPr>
          <w:rFonts w:eastAsia="Calibri"/>
        </w:rPr>
        <w:t xml:space="preserve">may indeed </w:t>
      </w:r>
      <w:r w:rsidRPr="00B93AD3">
        <w:rPr>
          <w:rFonts w:eastAsia="Calibri"/>
        </w:rPr>
        <w:t xml:space="preserve">wish to </w:t>
      </w:r>
      <w:r w:rsidR="0059004B">
        <w:rPr>
          <w:rFonts w:eastAsia="Calibri"/>
        </w:rPr>
        <w:t>advance</w:t>
      </w:r>
      <w:r w:rsidRPr="00B93AD3">
        <w:rPr>
          <w:rFonts w:eastAsia="Calibri"/>
        </w:rPr>
        <w:t xml:space="preserve"> a case under section 47B (1B) </w:t>
      </w:r>
      <w:r w:rsidR="00100520">
        <w:rPr>
          <w:rFonts w:eastAsia="Calibri"/>
        </w:rPr>
        <w:t>for the reasons</w:t>
      </w:r>
      <w:r w:rsidR="00DC3A80">
        <w:rPr>
          <w:rFonts w:eastAsia="Calibri"/>
        </w:rPr>
        <w:t xml:space="preserve"> which</w:t>
      </w:r>
      <w:r w:rsidR="00100520">
        <w:rPr>
          <w:rFonts w:eastAsia="Calibri"/>
        </w:rPr>
        <w:t xml:space="preserve"> he gives</w:t>
      </w:r>
      <w:r w:rsidRPr="00B93AD3">
        <w:rPr>
          <w:rFonts w:eastAsia="Calibri"/>
        </w:rPr>
        <w:t xml:space="preserve">.  But they will certainly </w:t>
      </w:r>
      <w:r w:rsidR="00100520">
        <w:rPr>
          <w:rFonts w:eastAsia="Calibri"/>
        </w:rPr>
        <w:t xml:space="preserve">also need </w:t>
      </w:r>
      <w:r w:rsidRPr="00B93AD3">
        <w:rPr>
          <w:rFonts w:eastAsia="Calibri"/>
        </w:rPr>
        <w:t xml:space="preserve">to rely on section 103A, not only because it gives the employer no “reasonable steps” defence but also because orders for reinstatement or re-engagement, and for a basic award, are only available in a claim under Part X. </w:t>
      </w:r>
    </w:p>
    <w:p w:rsidR="00E43F9D" w:rsidRPr="0078149A" w:rsidRDefault="00565DD9" w:rsidP="00763FDB">
      <w:pPr>
        <w:pStyle w:val="ParaLevel1"/>
        <w:rPr>
          <w:rFonts w:eastAsia="Calibri"/>
        </w:rPr>
      </w:pPr>
      <w:r w:rsidRPr="0078149A">
        <w:rPr>
          <w:rFonts w:eastAsia="Calibri"/>
        </w:rPr>
        <w:t>I accordingly approach the</w:t>
      </w:r>
      <w:r w:rsidR="008F5142" w:rsidRPr="0078149A">
        <w:rPr>
          <w:rFonts w:eastAsia="Calibri"/>
        </w:rPr>
        <w:t xml:space="preserve"> construction of the language </w:t>
      </w:r>
      <w:r w:rsidR="00CA075D" w:rsidRPr="0078149A">
        <w:rPr>
          <w:rFonts w:eastAsia="Calibri"/>
        </w:rPr>
        <w:t xml:space="preserve">of section 47B (2) </w:t>
      </w:r>
      <w:r w:rsidR="008F5142" w:rsidRPr="0078149A">
        <w:rPr>
          <w:rFonts w:eastAsia="Calibri"/>
        </w:rPr>
        <w:t xml:space="preserve">on the basis that I would </w:t>
      </w:r>
      <w:r w:rsidR="0078149A">
        <w:rPr>
          <w:rFonts w:eastAsia="Calibri"/>
        </w:rPr>
        <w:t xml:space="preserve">expect </w:t>
      </w:r>
      <w:r w:rsidR="008F5142" w:rsidRPr="0078149A">
        <w:rPr>
          <w:rFonts w:eastAsia="Calibri"/>
        </w:rPr>
        <w:t xml:space="preserve">Parliament to have intended to exclude liability </w:t>
      </w:r>
      <w:r w:rsidR="00CA075D" w:rsidRPr="0078149A">
        <w:rPr>
          <w:rFonts w:eastAsia="Calibri"/>
        </w:rPr>
        <w:t xml:space="preserve">under the operative provisions of the section only </w:t>
      </w:r>
      <w:r w:rsidR="00E7537E" w:rsidRPr="0078149A">
        <w:rPr>
          <w:rFonts w:eastAsia="Calibri"/>
        </w:rPr>
        <w:t xml:space="preserve">where the identical remedy was available under section 103A; and thus that it would not exclude </w:t>
      </w:r>
      <w:r w:rsidR="003E1C1D">
        <w:rPr>
          <w:rFonts w:eastAsia="Calibri"/>
        </w:rPr>
        <w:t xml:space="preserve">a co-worker’s individual </w:t>
      </w:r>
      <w:r w:rsidR="00E7537E" w:rsidRPr="0078149A">
        <w:rPr>
          <w:rFonts w:eastAsia="Calibri"/>
        </w:rPr>
        <w:t xml:space="preserve">liability </w:t>
      </w:r>
      <w:r w:rsidR="005604CD" w:rsidRPr="0078149A">
        <w:rPr>
          <w:rFonts w:eastAsia="Calibri"/>
        </w:rPr>
        <w:t>for the detriment of dismissal under sub-section (1A)</w:t>
      </w:r>
      <w:r w:rsidR="003E1C1D">
        <w:rPr>
          <w:rFonts w:eastAsia="Calibri"/>
        </w:rPr>
        <w:t xml:space="preserve"> (or, which follows, any vicarious liability of the employer under sub-section (1B))</w:t>
      </w:r>
      <w:r w:rsidR="005604CD" w:rsidRPr="0078149A">
        <w:rPr>
          <w:rFonts w:eastAsia="Calibri"/>
        </w:rPr>
        <w:t>.</w:t>
      </w:r>
      <w:r w:rsidR="008A787D" w:rsidRPr="0078149A">
        <w:rPr>
          <w:rFonts w:eastAsia="Calibri"/>
        </w:rPr>
        <w:t xml:space="preserve">  I do not believe that the statutory language compels a </w:t>
      </w:r>
      <w:r w:rsidR="0078149A">
        <w:rPr>
          <w:rFonts w:eastAsia="Calibri"/>
        </w:rPr>
        <w:t xml:space="preserve">different </w:t>
      </w:r>
      <w:r w:rsidR="008A787D" w:rsidRPr="0078149A">
        <w:rPr>
          <w:rFonts w:eastAsia="Calibri"/>
        </w:rPr>
        <w:t>construction.  The point is not s</w:t>
      </w:r>
      <w:r w:rsidR="00C031E4" w:rsidRPr="0078149A">
        <w:rPr>
          <w:rFonts w:eastAsia="Calibri"/>
        </w:rPr>
        <w:t>o much that “dismissal” means “dismissal by the employer”</w:t>
      </w:r>
      <w:r w:rsidR="003E1C1D">
        <w:rPr>
          <w:rFonts w:eastAsia="Calibri"/>
        </w:rPr>
        <w:t xml:space="preserve">.  </w:t>
      </w:r>
      <w:r w:rsidR="00C031E4" w:rsidRPr="0078149A">
        <w:rPr>
          <w:rFonts w:eastAsia="Calibri"/>
        </w:rPr>
        <w:t>I agree with Mr Carr that</w:t>
      </w:r>
      <w:r w:rsidR="00006B19" w:rsidRPr="0078149A">
        <w:rPr>
          <w:rFonts w:eastAsia="Calibri"/>
        </w:rPr>
        <w:t>, for the reasons which he gives, it plainly does</w:t>
      </w:r>
      <w:r w:rsidR="00DF2F19" w:rsidRPr="0078149A">
        <w:rPr>
          <w:rFonts w:eastAsia="Calibri"/>
        </w:rPr>
        <w:t xml:space="preserve"> so</w:t>
      </w:r>
      <w:r w:rsidR="003E1C1D">
        <w:rPr>
          <w:rFonts w:eastAsia="Calibri"/>
        </w:rPr>
        <w:t>;</w:t>
      </w:r>
      <w:r w:rsidR="00DF2F19" w:rsidRPr="0078149A">
        <w:rPr>
          <w:rFonts w:eastAsia="Calibri"/>
        </w:rPr>
        <w:t xml:space="preserve"> but </w:t>
      </w:r>
      <w:r w:rsidR="00383C2C">
        <w:rPr>
          <w:rFonts w:eastAsia="Calibri"/>
        </w:rPr>
        <w:t xml:space="preserve">that is </w:t>
      </w:r>
      <w:r w:rsidR="00E914A4">
        <w:rPr>
          <w:rFonts w:eastAsia="Calibri"/>
        </w:rPr>
        <w:t>n</w:t>
      </w:r>
      <w:r w:rsidR="003E1C1D">
        <w:rPr>
          <w:rFonts w:eastAsia="Calibri"/>
        </w:rPr>
        <w:t>ot a complete answer, since i</w:t>
      </w:r>
      <w:r w:rsidR="00485D6E">
        <w:rPr>
          <w:rFonts w:eastAsia="Calibri"/>
        </w:rPr>
        <w:t>t could be said that</w:t>
      </w:r>
      <w:r w:rsidR="00503B3D" w:rsidRPr="0078149A">
        <w:rPr>
          <w:rFonts w:eastAsia="Calibri"/>
        </w:rPr>
        <w:t xml:space="preserve"> “the detriment in question” (</w:t>
      </w:r>
      <w:r w:rsidR="004A6017" w:rsidRPr="0078149A">
        <w:rPr>
          <w:rFonts w:eastAsia="Calibri"/>
        </w:rPr>
        <w:t>which must mean the detriment</w:t>
      </w:r>
      <w:r w:rsidR="00503B3D" w:rsidRPr="0078149A">
        <w:rPr>
          <w:rFonts w:eastAsia="Calibri"/>
        </w:rPr>
        <w:t xml:space="preserve"> complained of)</w:t>
      </w:r>
      <w:r w:rsidR="004A6017" w:rsidRPr="0078149A">
        <w:rPr>
          <w:rFonts w:eastAsia="Calibri"/>
        </w:rPr>
        <w:t xml:space="preserve"> is “dismissal by the employer” whether the claimant wishes to complain </w:t>
      </w:r>
      <w:r w:rsidR="00B87EC9" w:rsidRPr="0078149A">
        <w:rPr>
          <w:rFonts w:eastAsia="Calibri"/>
        </w:rPr>
        <w:t xml:space="preserve">(under sub-section (1)) </w:t>
      </w:r>
      <w:r w:rsidR="004A6017" w:rsidRPr="0078149A">
        <w:rPr>
          <w:rFonts w:eastAsia="Calibri"/>
        </w:rPr>
        <w:t xml:space="preserve">of the act of the employer </w:t>
      </w:r>
      <w:r w:rsidR="0041194A" w:rsidRPr="0078149A">
        <w:rPr>
          <w:rFonts w:eastAsia="Calibri"/>
        </w:rPr>
        <w:t xml:space="preserve">in dismissing him </w:t>
      </w:r>
      <w:r w:rsidR="004A6017" w:rsidRPr="0078149A">
        <w:rPr>
          <w:rFonts w:eastAsia="Calibri"/>
        </w:rPr>
        <w:t xml:space="preserve">or </w:t>
      </w:r>
      <w:r w:rsidR="00B87EC9" w:rsidRPr="0078149A">
        <w:rPr>
          <w:rFonts w:eastAsia="Calibri"/>
        </w:rPr>
        <w:t xml:space="preserve">(under sub-section (1A)) of </w:t>
      </w:r>
      <w:r w:rsidR="004A6017" w:rsidRPr="0078149A">
        <w:rPr>
          <w:rFonts w:eastAsia="Calibri"/>
        </w:rPr>
        <w:t xml:space="preserve">the act of the individual </w:t>
      </w:r>
      <w:r w:rsidR="0041194A" w:rsidRPr="0078149A">
        <w:rPr>
          <w:rFonts w:eastAsia="Calibri"/>
        </w:rPr>
        <w:t>which constitutes that dismissal</w:t>
      </w:r>
      <w:r w:rsidR="003E1C1D">
        <w:rPr>
          <w:rFonts w:eastAsia="Calibri"/>
        </w:rPr>
        <w:t xml:space="preserve"> –</w:t>
      </w:r>
      <w:r w:rsidR="004A6017" w:rsidRPr="0078149A">
        <w:rPr>
          <w:rFonts w:eastAsia="Calibri"/>
        </w:rPr>
        <w:t xml:space="preserve"> whichever way the </w:t>
      </w:r>
      <w:r w:rsidR="004A6017" w:rsidRPr="0078149A">
        <w:rPr>
          <w:rFonts w:eastAsia="Calibri"/>
          <w:i/>
        </w:rPr>
        <w:t>act</w:t>
      </w:r>
      <w:r w:rsidR="004A6017" w:rsidRPr="0078149A">
        <w:rPr>
          <w:rFonts w:eastAsia="Calibri"/>
        </w:rPr>
        <w:t xml:space="preserve"> is characterised</w:t>
      </w:r>
      <w:r w:rsidR="00E00BDA" w:rsidRPr="0078149A">
        <w:rPr>
          <w:rFonts w:eastAsia="Calibri"/>
        </w:rPr>
        <w:t>,</w:t>
      </w:r>
      <w:r w:rsidR="004A6017" w:rsidRPr="0078149A">
        <w:rPr>
          <w:rFonts w:eastAsia="Calibri"/>
        </w:rPr>
        <w:t xml:space="preserve"> the resulting </w:t>
      </w:r>
      <w:r w:rsidR="004A6017" w:rsidRPr="0078149A">
        <w:rPr>
          <w:rFonts w:eastAsia="Calibri"/>
          <w:i/>
        </w:rPr>
        <w:t>detriment</w:t>
      </w:r>
      <w:r w:rsidR="004A6017" w:rsidRPr="0078149A">
        <w:rPr>
          <w:rFonts w:eastAsia="Calibri"/>
        </w:rPr>
        <w:t xml:space="preserve"> is the same, </w:t>
      </w:r>
      <w:r w:rsidR="003E1C1D">
        <w:rPr>
          <w:rFonts w:eastAsia="Calibri"/>
        </w:rPr>
        <w:t xml:space="preserve">so that </w:t>
      </w:r>
      <w:r w:rsidR="004A6017" w:rsidRPr="0078149A">
        <w:rPr>
          <w:rFonts w:eastAsia="Calibri"/>
        </w:rPr>
        <w:t>sub-section (2) bite</w:t>
      </w:r>
      <w:r w:rsidR="0059004B">
        <w:rPr>
          <w:rFonts w:eastAsia="Calibri"/>
        </w:rPr>
        <w:t>s</w:t>
      </w:r>
      <w:r w:rsidR="004A6017" w:rsidRPr="0078149A">
        <w:rPr>
          <w:rFonts w:eastAsia="Calibri"/>
        </w:rPr>
        <w:t xml:space="preserve"> in either case.  </w:t>
      </w:r>
      <w:r w:rsidR="00485D6E">
        <w:rPr>
          <w:rFonts w:eastAsia="Calibri"/>
        </w:rPr>
        <w:t xml:space="preserve">However, </w:t>
      </w:r>
      <w:r w:rsidR="00DE7E23">
        <w:rPr>
          <w:rFonts w:eastAsia="Calibri"/>
        </w:rPr>
        <w:t>I do not think t</w:t>
      </w:r>
      <w:r w:rsidR="008457CE">
        <w:rPr>
          <w:rFonts w:eastAsia="Calibri"/>
        </w:rPr>
        <w:t xml:space="preserve">hat so literal a construction </w:t>
      </w:r>
      <w:r w:rsidR="00FD0A0A">
        <w:rPr>
          <w:rFonts w:eastAsia="Calibri"/>
        </w:rPr>
        <w:t xml:space="preserve">of the rather elaborate statutory language </w:t>
      </w:r>
      <w:r w:rsidR="005C2A1F">
        <w:rPr>
          <w:rFonts w:eastAsia="Calibri"/>
        </w:rPr>
        <w:t>is necessary</w:t>
      </w:r>
      <w:r w:rsidR="00DE7E23">
        <w:rPr>
          <w:lang w:eastAsia="en-GB"/>
        </w:rPr>
        <w:t xml:space="preserve">.  </w:t>
      </w:r>
      <w:r w:rsidR="003B32F0">
        <w:rPr>
          <w:lang w:eastAsia="en-GB"/>
        </w:rPr>
        <w:t xml:space="preserve">A more straightforward </w:t>
      </w:r>
      <w:r w:rsidR="00E41FAF">
        <w:rPr>
          <w:lang w:eastAsia="en-GB"/>
        </w:rPr>
        <w:t>reading</w:t>
      </w:r>
      <w:r w:rsidR="003B32F0">
        <w:rPr>
          <w:lang w:eastAsia="en-GB"/>
        </w:rPr>
        <w:t xml:space="preserve"> is that </w:t>
      </w:r>
      <w:r w:rsidR="00C72CFD">
        <w:rPr>
          <w:lang w:eastAsia="en-GB"/>
        </w:rPr>
        <w:t xml:space="preserve">what </w:t>
      </w:r>
      <w:r w:rsidR="00E41FAF">
        <w:rPr>
          <w:lang w:eastAsia="en-GB"/>
        </w:rPr>
        <w:t>s</w:t>
      </w:r>
      <w:r w:rsidR="005C2A1F">
        <w:rPr>
          <w:lang w:eastAsia="en-GB"/>
        </w:rPr>
        <w:t xml:space="preserve">ub-sections (1) and (1A) proscribe is </w:t>
      </w:r>
      <w:r w:rsidR="00F02111">
        <w:rPr>
          <w:lang w:eastAsia="en-GB"/>
        </w:rPr>
        <w:t xml:space="preserve">simply </w:t>
      </w:r>
      <w:r w:rsidR="004A6017">
        <w:rPr>
          <w:lang w:eastAsia="en-GB"/>
        </w:rPr>
        <w:t xml:space="preserve">the doing of </w:t>
      </w:r>
      <w:r w:rsidR="00C40844">
        <w:rPr>
          <w:lang w:eastAsia="en-GB"/>
        </w:rPr>
        <w:t>a</w:t>
      </w:r>
      <w:r w:rsidR="004A6017">
        <w:rPr>
          <w:lang w:eastAsia="en-GB"/>
        </w:rPr>
        <w:t xml:space="preserve"> detrimental act</w:t>
      </w:r>
      <w:r w:rsidR="00E41FAF">
        <w:rPr>
          <w:lang w:eastAsia="en-GB"/>
        </w:rPr>
        <w:t>: the doing of the act and the</w:t>
      </w:r>
      <w:r w:rsidR="002E5194">
        <w:rPr>
          <w:lang w:eastAsia="en-GB"/>
        </w:rPr>
        <w:t xml:space="preserve"> suffering of the detriment are, for this purpose at least, </w:t>
      </w:r>
      <w:r w:rsidR="00E41FAF">
        <w:rPr>
          <w:lang w:eastAsia="en-GB"/>
        </w:rPr>
        <w:t>two sides of the same coin</w:t>
      </w:r>
      <w:r w:rsidR="004A6017" w:rsidRPr="0078149A">
        <w:rPr>
          <w:rFonts w:eastAsia="Calibri"/>
        </w:rPr>
        <w:t>.  On that basis the reference in sub-section (2) t</w:t>
      </w:r>
      <w:r w:rsidR="00621CE4" w:rsidRPr="0078149A">
        <w:rPr>
          <w:rFonts w:eastAsia="Calibri"/>
        </w:rPr>
        <w:t xml:space="preserve">o “the detriment in question” </w:t>
      </w:r>
      <w:r w:rsidR="006C0011" w:rsidRPr="0078149A">
        <w:rPr>
          <w:rFonts w:eastAsia="Calibri"/>
        </w:rPr>
        <w:t>would connote</w:t>
      </w:r>
      <w:r w:rsidR="006A5F84" w:rsidRPr="0078149A">
        <w:rPr>
          <w:rFonts w:eastAsia="Calibri"/>
        </w:rPr>
        <w:t xml:space="preserve"> the detrimental act </w:t>
      </w:r>
      <w:r w:rsidR="006C0011" w:rsidRPr="0078149A">
        <w:rPr>
          <w:rFonts w:eastAsia="Calibri"/>
        </w:rPr>
        <w:t>of which the claimant complains</w:t>
      </w:r>
      <w:r w:rsidR="004A6017" w:rsidRPr="0078149A">
        <w:rPr>
          <w:rFonts w:eastAsia="Calibri"/>
        </w:rPr>
        <w:t xml:space="preserve">, </w:t>
      </w:r>
      <w:r w:rsidR="00955F21">
        <w:rPr>
          <w:rFonts w:eastAsia="Calibri"/>
        </w:rPr>
        <w:t>and</w:t>
      </w:r>
      <w:r w:rsidR="004A6017" w:rsidRPr="0078149A">
        <w:rPr>
          <w:rFonts w:eastAsia="Calibri"/>
        </w:rPr>
        <w:t xml:space="preserve"> a claimant relying on sub-section (1A) could indeed say “I am not complaining of </w:t>
      </w:r>
      <w:r w:rsidR="00E43F9D" w:rsidRPr="0078149A">
        <w:rPr>
          <w:rFonts w:eastAsia="Calibri"/>
        </w:rPr>
        <w:t>an act done by the employer but of an act done by my co-worker”.</w:t>
      </w:r>
      <w:r w:rsidR="00266C64" w:rsidRPr="0078149A">
        <w:rPr>
          <w:rFonts w:eastAsia="Calibri"/>
        </w:rPr>
        <w:t xml:space="preserve">  For the reasons given above, I think that such a construction produces a more rational and coherent statutory scheme and conforms </w:t>
      </w:r>
      <w:r w:rsidR="00C957BC" w:rsidRPr="0078149A">
        <w:rPr>
          <w:rFonts w:eastAsia="Calibri"/>
        </w:rPr>
        <w:t xml:space="preserve">better with the purpose of </w:t>
      </w:r>
      <w:r w:rsidR="00663062">
        <w:rPr>
          <w:rFonts w:eastAsia="Calibri"/>
        </w:rPr>
        <w:t>section 47B (2)</w:t>
      </w:r>
      <w:r w:rsidR="00C957BC" w:rsidRPr="0078149A">
        <w:rPr>
          <w:rFonts w:eastAsia="Calibri"/>
        </w:rPr>
        <w:t>.</w:t>
      </w:r>
      <w:r w:rsidR="00C626C0" w:rsidRPr="0078149A">
        <w:rPr>
          <w:rFonts w:eastAsia="Calibri"/>
        </w:rPr>
        <w:t xml:space="preserve"> </w:t>
      </w:r>
    </w:p>
    <w:p w:rsidR="00404420" w:rsidRPr="00503B3D" w:rsidRDefault="00C957BC" w:rsidP="00763FDB">
      <w:pPr>
        <w:pStyle w:val="ParaLevel1"/>
        <w:rPr>
          <w:rFonts w:eastAsia="Calibri"/>
        </w:rPr>
      </w:pPr>
      <w:r>
        <w:rPr>
          <w:rFonts w:eastAsia="Calibri"/>
        </w:rPr>
        <w:t xml:space="preserve">An additional advantage of this construction is that </w:t>
      </w:r>
      <w:r w:rsidR="00A63799">
        <w:rPr>
          <w:rFonts w:eastAsia="Calibri"/>
        </w:rPr>
        <w:t>it eliminates the need</w:t>
      </w:r>
      <w:r w:rsidR="004C7562">
        <w:rPr>
          <w:rFonts w:eastAsia="Calibri"/>
        </w:rPr>
        <w:t xml:space="preserve"> </w:t>
      </w:r>
      <w:r w:rsidR="00A63799">
        <w:rPr>
          <w:rFonts w:eastAsia="Calibri"/>
        </w:rPr>
        <w:t xml:space="preserve">to </w:t>
      </w:r>
      <w:r w:rsidR="006E2EBC">
        <w:rPr>
          <w:rFonts w:eastAsia="Calibri"/>
        </w:rPr>
        <w:t>undertake</w:t>
      </w:r>
      <w:r w:rsidR="00A63799">
        <w:rPr>
          <w:rFonts w:eastAsia="Calibri"/>
        </w:rPr>
        <w:t xml:space="preserve"> the </w:t>
      </w:r>
      <w:r w:rsidR="00404420" w:rsidRPr="00503B3D">
        <w:rPr>
          <w:rFonts w:eastAsia="Calibri"/>
        </w:rPr>
        <w:t xml:space="preserve">exercise of drawing a line between </w:t>
      </w:r>
      <w:r w:rsidR="00E85C36">
        <w:rPr>
          <w:rFonts w:eastAsia="Calibri"/>
        </w:rPr>
        <w:t xml:space="preserve">those of </w:t>
      </w:r>
      <w:r w:rsidR="007C381F">
        <w:rPr>
          <w:rFonts w:eastAsia="Calibri"/>
        </w:rPr>
        <w:t>a co-worker’s</w:t>
      </w:r>
      <w:r w:rsidR="00E85C36">
        <w:rPr>
          <w:rFonts w:eastAsia="Calibri"/>
        </w:rPr>
        <w:t xml:space="preserve"> </w:t>
      </w:r>
      <w:r w:rsidR="00404420" w:rsidRPr="00503B3D">
        <w:rPr>
          <w:rFonts w:eastAsia="Calibri"/>
        </w:rPr>
        <w:t xml:space="preserve">acts </w:t>
      </w:r>
      <w:r w:rsidR="004505E8">
        <w:rPr>
          <w:rFonts w:eastAsia="Calibri"/>
        </w:rPr>
        <w:t>which</w:t>
      </w:r>
      <w:r w:rsidR="00E85C36">
        <w:rPr>
          <w:rFonts w:eastAsia="Calibri"/>
        </w:rPr>
        <w:t xml:space="preserve"> amount to dismissal</w:t>
      </w:r>
      <w:r w:rsidR="00404420" w:rsidRPr="00503B3D">
        <w:rPr>
          <w:rFonts w:eastAsia="Calibri"/>
        </w:rPr>
        <w:t xml:space="preserve"> and those </w:t>
      </w:r>
      <w:r w:rsidR="00E85C36">
        <w:rPr>
          <w:rFonts w:eastAsia="Calibri"/>
        </w:rPr>
        <w:t xml:space="preserve">that </w:t>
      </w:r>
      <w:r w:rsidR="00404420" w:rsidRPr="00503B3D">
        <w:rPr>
          <w:rFonts w:eastAsia="Calibri"/>
        </w:rPr>
        <w:t>c</w:t>
      </w:r>
      <w:r w:rsidR="00090802">
        <w:rPr>
          <w:rFonts w:eastAsia="Calibri"/>
        </w:rPr>
        <w:t>onstitute distinct prior acts</w:t>
      </w:r>
      <w:r w:rsidR="00480B1D">
        <w:rPr>
          <w:rFonts w:eastAsia="Calibri"/>
        </w:rPr>
        <w:t xml:space="preserve">.  Having to </w:t>
      </w:r>
      <w:r w:rsidR="006E2EBC">
        <w:rPr>
          <w:rFonts w:eastAsia="Calibri"/>
        </w:rPr>
        <w:t>do so</w:t>
      </w:r>
      <w:r w:rsidR="006C3FE0">
        <w:rPr>
          <w:rFonts w:eastAsia="Calibri"/>
        </w:rPr>
        <w:t xml:space="preserve"> is likely to involve</w:t>
      </w:r>
      <w:r w:rsidR="00480B1D">
        <w:rPr>
          <w:rFonts w:eastAsia="Calibri"/>
        </w:rPr>
        <w:t xml:space="preserve"> tribunals in arid and </w:t>
      </w:r>
      <w:r w:rsidR="00090802">
        <w:rPr>
          <w:rFonts w:eastAsia="Calibri"/>
        </w:rPr>
        <w:t xml:space="preserve">artificial </w:t>
      </w:r>
      <w:r w:rsidR="006E2EBC">
        <w:rPr>
          <w:rFonts w:eastAsia="Calibri"/>
        </w:rPr>
        <w:t>dis</w:t>
      </w:r>
      <w:r w:rsidR="00480B1D">
        <w:rPr>
          <w:rFonts w:eastAsia="Calibri"/>
        </w:rPr>
        <w:t xml:space="preserve">putes, with the risk of arbitrary outcomes. </w:t>
      </w:r>
      <w:r w:rsidR="006C3FE0">
        <w:rPr>
          <w:rFonts w:eastAsia="Calibri"/>
        </w:rPr>
        <w:t xml:space="preserve"> </w:t>
      </w:r>
      <w:r w:rsidR="00404420" w:rsidRPr="00503B3D">
        <w:rPr>
          <w:rFonts w:eastAsia="Calibri"/>
        </w:rPr>
        <w:t xml:space="preserve">It is true that a similar exercise is </w:t>
      </w:r>
      <w:r w:rsidR="005E38FE">
        <w:rPr>
          <w:rFonts w:eastAsia="Calibri"/>
        </w:rPr>
        <w:t xml:space="preserve">sometimes </w:t>
      </w:r>
      <w:r w:rsidR="00404420" w:rsidRPr="00503B3D">
        <w:rPr>
          <w:rFonts w:eastAsia="Calibri"/>
        </w:rPr>
        <w:t xml:space="preserve">required in other contexts as a result of the decision of the House of Lords in </w:t>
      </w:r>
      <w:r w:rsidR="00404420" w:rsidRPr="00503B3D">
        <w:rPr>
          <w:rFonts w:eastAsia="Calibri"/>
          <w:i/>
        </w:rPr>
        <w:t>Johnson v Unisys Ltd</w:t>
      </w:r>
      <w:r w:rsidR="00404420" w:rsidRPr="00503B3D">
        <w:rPr>
          <w:rFonts w:eastAsia="Calibri"/>
        </w:rPr>
        <w:t xml:space="preserve"> </w:t>
      </w:r>
      <w:r w:rsidR="00404420" w:rsidRPr="00503B3D">
        <w:rPr>
          <w:shd w:val="clear" w:color="auto" w:fill="FFFFFF"/>
        </w:rPr>
        <w:t>[2001] UKHL 13</w:t>
      </w:r>
      <w:r w:rsidR="00404420" w:rsidRPr="00503B3D">
        <w:rPr>
          <w:rFonts w:eastAsia="Calibri"/>
        </w:rPr>
        <w:t xml:space="preserve">, </w:t>
      </w:r>
      <w:r w:rsidR="00404420" w:rsidRPr="00503B3D">
        <w:rPr>
          <w:shd w:val="clear" w:color="auto" w:fill="FFFFFF"/>
        </w:rPr>
        <w:t xml:space="preserve">[2003] 1 AC 518; </w:t>
      </w:r>
      <w:r w:rsidR="00B20038">
        <w:rPr>
          <w:shd w:val="clear" w:color="auto" w:fill="FFFFFF"/>
        </w:rPr>
        <w:t>and in his skeleton argument, though not in his oral submissions, Mr Stilitz pointed out that parallel.  B</w:t>
      </w:r>
      <w:r w:rsidR="00404420" w:rsidRPr="00503B3D">
        <w:rPr>
          <w:shd w:val="clear" w:color="auto" w:fill="FFFFFF"/>
        </w:rPr>
        <w:t xml:space="preserve">ut </w:t>
      </w:r>
      <w:r w:rsidR="009177A2">
        <w:rPr>
          <w:shd w:val="clear" w:color="auto" w:fill="FFFFFF"/>
        </w:rPr>
        <w:t xml:space="preserve">the </w:t>
      </w:r>
      <w:r w:rsidR="00FA4E6C">
        <w:rPr>
          <w:shd w:val="clear" w:color="auto" w:fill="FFFFFF"/>
        </w:rPr>
        <w:t xml:space="preserve">state of affairs produced </w:t>
      </w:r>
      <w:r w:rsidR="009177A2">
        <w:rPr>
          <w:shd w:val="clear" w:color="auto" w:fill="FFFFFF"/>
        </w:rPr>
        <w:t xml:space="preserve">by </w:t>
      </w:r>
      <w:r w:rsidR="005E38FE" w:rsidRPr="005E38FE">
        <w:rPr>
          <w:i/>
          <w:shd w:val="clear" w:color="auto" w:fill="FFFFFF"/>
        </w:rPr>
        <w:t>Johnson</w:t>
      </w:r>
      <w:r w:rsidR="005E38FE">
        <w:rPr>
          <w:shd w:val="clear" w:color="auto" w:fill="FFFFFF"/>
        </w:rPr>
        <w:t xml:space="preserve"> </w:t>
      </w:r>
      <w:r w:rsidR="00FA4E6C">
        <w:rPr>
          <w:shd w:val="clear" w:color="auto" w:fill="FFFFFF"/>
        </w:rPr>
        <w:t>is</w:t>
      </w:r>
      <w:r w:rsidR="009177A2">
        <w:rPr>
          <w:shd w:val="clear" w:color="auto" w:fill="FFFFFF"/>
        </w:rPr>
        <w:t xml:space="preserve"> widely regarde</w:t>
      </w:r>
      <w:r w:rsidR="00E460E5">
        <w:rPr>
          <w:shd w:val="clear" w:color="auto" w:fill="FFFFFF"/>
        </w:rPr>
        <w:t>d as, at best, a necessary evil</w:t>
      </w:r>
      <w:r w:rsidR="00FA4E6C">
        <w:rPr>
          <w:shd w:val="clear" w:color="auto" w:fill="FFFFFF"/>
        </w:rPr>
        <w:t xml:space="preserve">, and I have no enthusiasm for reproducing it </w:t>
      </w:r>
      <w:r w:rsidR="00404420" w:rsidRPr="00503B3D">
        <w:rPr>
          <w:shd w:val="clear" w:color="auto" w:fill="FFFFFF"/>
        </w:rPr>
        <w:t xml:space="preserve">where it </w:t>
      </w:r>
      <w:r w:rsidR="00FA4E6C">
        <w:rPr>
          <w:shd w:val="clear" w:color="auto" w:fill="FFFFFF"/>
        </w:rPr>
        <w:t>can be avoided.</w:t>
      </w:r>
    </w:p>
    <w:p w:rsidR="001757E9" w:rsidRDefault="001757E9" w:rsidP="00763FDB">
      <w:pPr>
        <w:pStyle w:val="ParaLevel1"/>
        <w:rPr>
          <w:rFonts w:eastAsia="Calibri"/>
        </w:rPr>
      </w:pPr>
      <w:r w:rsidRPr="00B20038">
        <w:rPr>
          <w:rFonts w:eastAsia="Calibri"/>
        </w:rPr>
        <w:t xml:space="preserve">I would accordingly hold that section 47B (2) does not prevent the Claimant proceeding against the Appellants under Part V </w:t>
      </w:r>
      <w:r w:rsidR="00D62EF6" w:rsidRPr="00B20038">
        <w:rPr>
          <w:rFonts w:eastAsia="Calibri"/>
        </w:rPr>
        <w:t>on the basis of their responsibility for the dismissal itself.</w:t>
      </w:r>
    </w:p>
    <w:p w:rsidR="0088337C" w:rsidRPr="00B20038" w:rsidRDefault="0088337C" w:rsidP="00763FDB">
      <w:pPr>
        <w:pStyle w:val="ParaLevel1"/>
        <w:rPr>
          <w:rFonts w:eastAsia="Calibri"/>
        </w:rPr>
      </w:pPr>
      <w:r>
        <w:rPr>
          <w:rFonts w:eastAsia="Calibri"/>
        </w:rPr>
        <w:t>I</w:t>
      </w:r>
      <w:r w:rsidR="00AB1F7B">
        <w:rPr>
          <w:rFonts w:eastAsia="Calibri"/>
        </w:rPr>
        <w:t xml:space="preserve"> accept that this approach to the meaning of section 47B (2) </w:t>
      </w:r>
      <w:r w:rsidR="00E006FF">
        <w:rPr>
          <w:rFonts w:eastAsia="Calibri"/>
        </w:rPr>
        <w:t xml:space="preserve">does not produce a particularly elegant result.  It is </w:t>
      </w:r>
      <w:r w:rsidR="00E96ECF">
        <w:rPr>
          <w:rFonts w:eastAsia="Calibri"/>
        </w:rPr>
        <w:t>clumsy</w:t>
      </w:r>
      <w:r w:rsidR="00E006FF">
        <w:rPr>
          <w:rFonts w:eastAsia="Calibri"/>
        </w:rPr>
        <w:t xml:space="preserve"> that a</w:t>
      </w:r>
      <w:r w:rsidR="00D94FAF">
        <w:rPr>
          <w:rFonts w:eastAsia="Calibri"/>
        </w:rPr>
        <w:t xml:space="preserve">n employee dismissed on whistleblower </w:t>
      </w:r>
      <w:r w:rsidR="003A710C">
        <w:rPr>
          <w:rFonts w:eastAsia="Calibri"/>
        </w:rPr>
        <w:t>grounds should be able to pursue distinct causes of action</w:t>
      </w:r>
      <w:r w:rsidR="00740367">
        <w:rPr>
          <w:rFonts w:eastAsia="Calibri"/>
        </w:rPr>
        <w:t xml:space="preserve">, with </w:t>
      </w:r>
      <w:r w:rsidR="00383BC2">
        <w:rPr>
          <w:rFonts w:eastAsia="Calibri"/>
        </w:rPr>
        <w:t>significant differences as regards the conditions of liability and</w:t>
      </w:r>
      <w:r w:rsidR="00E914A4">
        <w:rPr>
          <w:rFonts w:eastAsia="Calibri"/>
        </w:rPr>
        <w:t xml:space="preserve"> (perhaps) compensation,</w:t>
      </w:r>
      <w:r w:rsidR="003A710C">
        <w:rPr>
          <w:rFonts w:eastAsia="Calibri"/>
        </w:rPr>
        <w:t xml:space="preserve"> against his or her employer</w:t>
      </w:r>
      <w:r w:rsidR="00663062">
        <w:rPr>
          <w:rFonts w:eastAsia="Calibri"/>
        </w:rPr>
        <w:t>.</w:t>
      </w:r>
      <w:r w:rsidR="00FD3768">
        <w:rPr>
          <w:rFonts w:eastAsia="Calibri"/>
        </w:rPr>
        <w:t xml:space="preserve">  It may well be that Parliament did not really think through </w:t>
      </w:r>
      <w:r w:rsidR="00CD4D88">
        <w:rPr>
          <w:rFonts w:eastAsia="Calibri"/>
        </w:rPr>
        <w:t>the technical challenges of</w:t>
      </w:r>
      <w:r w:rsidR="00FD3768">
        <w:rPr>
          <w:rFonts w:eastAsia="Calibri"/>
        </w:rPr>
        <w:t xml:space="preserve"> </w:t>
      </w:r>
      <w:r w:rsidR="00D45BB2">
        <w:rPr>
          <w:rFonts w:eastAsia="Calibri"/>
        </w:rPr>
        <w:t xml:space="preserve">inserting </w:t>
      </w:r>
      <w:r w:rsidR="00444D5D">
        <w:rPr>
          <w:rFonts w:eastAsia="Calibri"/>
        </w:rPr>
        <w:t xml:space="preserve">into the framework of the 1996 Act </w:t>
      </w:r>
      <w:r w:rsidR="00D45BB2">
        <w:rPr>
          <w:rFonts w:eastAsia="Calibri"/>
        </w:rPr>
        <w:t>a scheme of</w:t>
      </w:r>
      <w:r w:rsidR="00FD3768">
        <w:rPr>
          <w:rFonts w:eastAsia="Calibri"/>
        </w:rPr>
        <w:t xml:space="preserve"> individual liability </w:t>
      </w:r>
      <w:r w:rsidR="00444D5D">
        <w:rPr>
          <w:rFonts w:eastAsia="Calibri"/>
        </w:rPr>
        <w:t>largely borrowed from the discrimination legislation</w:t>
      </w:r>
      <w:r w:rsidR="00E96ECF">
        <w:rPr>
          <w:rFonts w:eastAsia="Calibri"/>
        </w:rPr>
        <w:t xml:space="preserve">.  But the resulting awkwardnesses are insufficient to </w:t>
      </w:r>
      <w:r w:rsidR="00C41073">
        <w:rPr>
          <w:rFonts w:eastAsia="Calibri"/>
        </w:rPr>
        <w:t>justify a con</w:t>
      </w:r>
      <w:r w:rsidR="004505E8">
        <w:rPr>
          <w:rFonts w:eastAsia="Calibri"/>
        </w:rPr>
        <w:t>struction that would produce</w:t>
      </w:r>
      <w:r w:rsidR="00C41073">
        <w:rPr>
          <w:rFonts w:eastAsia="Calibri"/>
        </w:rPr>
        <w:t xml:space="preserve"> much more serious anomalies</w:t>
      </w:r>
      <w:r w:rsidR="004505E8">
        <w:rPr>
          <w:rFonts w:eastAsia="Calibri"/>
        </w:rPr>
        <w:t xml:space="preserve"> and seems to me contrary to the overall policy of these provisions</w:t>
      </w:r>
      <w:r w:rsidR="00C41073">
        <w:rPr>
          <w:rFonts w:eastAsia="Calibri"/>
        </w:rPr>
        <w:t>.</w:t>
      </w:r>
      <w:r w:rsidR="00D94FAF">
        <w:rPr>
          <w:rFonts w:eastAsia="Calibri"/>
        </w:rPr>
        <w:t xml:space="preserve"> </w:t>
      </w:r>
      <w:r>
        <w:rPr>
          <w:rFonts w:eastAsia="Calibri"/>
        </w:rPr>
        <w:t xml:space="preserve"> </w:t>
      </w:r>
    </w:p>
    <w:p w:rsidR="00994CF7" w:rsidRPr="002F1EF3" w:rsidRDefault="0013040A" w:rsidP="00763FDB">
      <w:pPr>
        <w:pStyle w:val="ParaLevel1"/>
        <w:numPr>
          <w:ilvl w:val="0"/>
          <w:numId w:val="0"/>
        </w:numPr>
        <w:ind w:left="720" w:hanging="720"/>
        <w:rPr>
          <w:szCs w:val="24"/>
          <w:u w:val="single"/>
        </w:rPr>
      </w:pPr>
      <w:r>
        <w:rPr>
          <w:szCs w:val="24"/>
          <w:u w:val="single"/>
        </w:rPr>
        <w:t>(2</w:t>
      </w:r>
      <w:r w:rsidR="00994CF7" w:rsidRPr="002F1EF3">
        <w:rPr>
          <w:szCs w:val="24"/>
          <w:u w:val="single"/>
        </w:rPr>
        <w:t>)</w:t>
      </w:r>
      <w:r w:rsidR="00994CF7" w:rsidRPr="002F1EF3">
        <w:rPr>
          <w:szCs w:val="24"/>
          <w:u w:val="single"/>
        </w:rPr>
        <w:tab/>
      </w:r>
      <w:r w:rsidR="00994CF7" w:rsidRPr="00501F7C">
        <w:rPr>
          <w:u w:val="single"/>
        </w:rPr>
        <w:t>COMPENSATION FOR DISMISSAL CONSEQUENT ON DETRIMENT</w:t>
      </w:r>
    </w:p>
    <w:p w:rsidR="00D375A9" w:rsidRPr="00D375A9" w:rsidRDefault="00F42F1E" w:rsidP="00763FDB">
      <w:pPr>
        <w:pStyle w:val="ParaLevel1"/>
        <w:rPr>
          <w:rFonts w:eastAsia="Calibri"/>
        </w:rPr>
      </w:pPr>
      <w:r>
        <w:rPr>
          <w:rFonts w:eastAsia="Calibri"/>
        </w:rPr>
        <w:t xml:space="preserve">My conclusion thus far means that it is strictly unnecessary to consider this element </w:t>
      </w:r>
      <w:r w:rsidR="00D375A9">
        <w:rPr>
          <w:rFonts w:eastAsia="Calibri"/>
        </w:rPr>
        <w:t>of</w:t>
      </w:r>
      <w:r>
        <w:rPr>
          <w:rFonts w:eastAsia="Calibri"/>
        </w:rPr>
        <w:t xml:space="preserve"> </w:t>
      </w:r>
      <w:r w:rsidR="00994CF7">
        <w:t>Mr Stilitz</w:t>
      </w:r>
      <w:r>
        <w:t xml:space="preserve">’s </w:t>
      </w:r>
      <w:r w:rsidR="00D375A9">
        <w:t>submissions</w:t>
      </w:r>
      <w:r w:rsidR="009D37FB">
        <w:t>: i</w:t>
      </w:r>
      <w:r w:rsidR="00481847">
        <w:t xml:space="preserve">f the Claimant can recover against the Appellants for the dismissal itself he does not need to rely on </w:t>
      </w:r>
      <w:r w:rsidR="003E6097">
        <w:t xml:space="preserve">any prior detriment.  But the point </w:t>
      </w:r>
      <w:r w:rsidR="00911A6A">
        <w:t>will</w:t>
      </w:r>
      <w:r w:rsidR="003E6097">
        <w:t xml:space="preserve"> arise in other cases where </w:t>
      </w:r>
      <w:r w:rsidR="00911A6A">
        <w:t xml:space="preserve">the dismissal </w:t>
      </w:r>
      <w:r w:rsidR="00663062">
        <w:t>decision</w:t>
      </w:r>
      <w:r w:rsidR="00911A6A">
        <w:t xml:space="preserve"> was not taken on whistleblower grounds</w:t>
      </w:r>
      <w:r w:rsidR="00F92E15">
        <w:t xml:space="preserve"> –</w:t>
      </w:r>
      <w:r w:rsidR="00A72ACE">
        <w:t xml:space="preserve"> as was the case in </w:t>
      </w:r>
      <w:r w:rsidR="00A72ACE" w:rsidRPr="00A72ACE">
        <w:rPr>
          <w:i/>
        </w:rPr>
        <w:t>Jhuti</w:t>
      </w:r>
      <w:r w:rsidR="00A72ACE">
        <w:t xml:space="preserve"> (subject to the outcome of the pending appeal) – and I </w:t>
      </w:r>
      <w:r w:rsidR="009D37FB">
        <w:t xml:space="preserve">think I </w:t>
      </w:r>
      <w:r w:rsidR="00A72ACE">
        <w:t xml:space="preserve">should address it. </w:t>
      </w:r>
      <w:r w:rsidR="00994CF7">
        <w:t xml:space="preserve"> </w:t>
      </w:r>
    </w:p>
    <w:p w:rsidR="00994CF7" w:rsidRPr="00A964A4" w:rsidRDefault="00D375A9" w:rsidP="00763FDB">
      <w:pPr>
        <w:pStyle w:val="ParaLevel1"/>
        <w:rPr>
          <w:rFonts w:eastAsia="Calibri"/>
        </w:rPr>
      </w:pPr>
      <w:r>
        <w:t xml:space="preserve">Mr Stilitz </w:t>
      </w:r>
      <w:r w:rsidR="00994CF7">
        <w:t xml:space="preserve">did not seek to argue that </w:t>
      </w:r>
      <w:r w:rsidR="00994CF7" w:rsidRPr="00583BE8">
        <w:rPr>
          <w:i/>
        </w:rPr>
        <w:t>CLFIS</w:t>
      </w:r>
      <w:r w:rsidR="00994CF7">
        <w:t xml:space="preserve"> was wrongly</w:t>
      </w:r>
      <w:r w:rsidR="00AC28D1">
        <w:t xml:space="preserve"> decided or</w:t>
      </w:r>
      <w:r w:rsidR="004505E8">
        <w:t>,</w:t>
      </w:r>
      <w:r w:rsidR="00AC28D1">
        <w:t xml:space="preserve"> therefore</w:t>
      </w:r>
      <w:r w:rsidR="004505E8">
        <w:t>,</w:t>
      </w:r>
      <w:r w:rsidR="00AC28D1">
        <w:t xml:space="preserve"> that compensation for dismissal consequent on detriment was</w:t>
      </w:r>
      <w:r w:rsidR="00994CF7">
        <w:t xml:space="preserve"> not recoverable outside the whistleblower context.  His case was that </w:t>
      </w:r>
      <w:r w:rsidR="00035137">
        <w:t>it was</w:t>
      </w:r>
      <w:r w:rsidR="00994CF7">
        <w:t xml:space="preserve"> excluded </w:t>
      </w:r>
      <w:r w:rsidR="00035137">
        <w:t xml:space="preserve">in the case of whistleblower detriment </w:t>
      </w:r>
      <w:r w:rsidR="00994CF7">
        <w:t>by the language of section 47B (2).</w:t>
      </w:r>
      <w:r w:rsidR="004505E8">
        <w:t xml:space="preserve"> </w:t>
      </w:r>
      <w:r w:rsidR="00994CF7">
        <w:t xml:space="preserve"> </w:t>
      </w:r>
      <w:r w:rsidR="003B4610">
        <w:t>That</w:t>
      </w:r>
      <w:r w:rsidR="00994CF7">
        <w:rPr>
          <w:rFonts w:eastAsia="Calibri"/>
        </w:rPr>
        <w:t xml:space="preserve"> corresponds to what I understand to </w:t>
      </w:r>
      <w:r w:rsidR="005B1142">
        <w:rPr>
          <w:rFonts w:eastAsia="Calibri"/>
        </w:rPr>
        <w:t xml:space="preserve">have </w:t>
      </w:r>
      <w:r w:rsidR="00994CF7">
        <w:rPr>
          <w:rFonts w:eastAsia="Calibri"/>
        </w:rPr>
        <w:t>be</w:t>
      </w:r>
      <w:r w:rsidR="005B1142">
        <w:rPr>
          <w:rFonts w:eastAsia="Calibri"/>
        </w:rPr>
        <w:t>en</w:t>
      </w:r>
      <w:r w:rsidR="00994CF7">
        <w:rPr>
          <w:rFonts w:eastAsia="Calibri"/>
        </w:rPr>
        <w:t xml:space="preserve"> Mitting J’s position in </w:t>
      </w:r>
      <w:r w:rsidR="00994CF7" w:rsidRPr="0035049B">
        <w:rPr>
          <w:rFonts w:eastAsia="Calibri"/>
          <w:i/>
        </w:rPr>
        <w:t>Jhuti</w:t>
      </w:r>
      <w:r w:rsidR="00994CF7">
        <w:rPr>
          <w:rFonts w:eastAsia="Calibri"/>
        </w:rPr>
        <w:t xml:space="preserve">, where he says that section 47B (2) </w:t>
      </w:r>
      <w:r w:rsidR="00994CF7">
        <w:rPr>
          <w:szCs w:val="24"/>
        </w:rPr>
        <w:t xml:space="preserve">“necessarily excludes </w:t>
      </w:r>
      <w:r w:rsidR="00994CF7" w:rsidRPr="00CC3D6F">
        <w:rPr>
          <w:szCs w:val="24"/>
        </w:rPr>
        <w:t xml:space="preserve">the financial and other consequences </w:t>
      </w:r>
      <w:r w:rsidR="00994CF7">
        <w:rPr>
          <w:szCs w:val="24"/>
        </w:rPr>
        <w:t xml:space="preserve">of dismissal </w:t>
      </w:r>
      <w:r w:rsidR="00994CF7" w:rsidRPr="00CC3D6F">
        <w:rPr>
          <w:szCs w:val="24"/>
        </w:rPr>
        <w:t>whatever the causative link</w:t>
      </w:r>
      <w:r w:rsidR="00994CF7">
        <w:rPr>
          <w:szCs w:val="24"/>
        </w:rPr>
        <w:t xml:space="preserve">”.  </w:t>
      </w:r>
      <w:r w:rsidR="00994CF7" w:rsidRPr="00A964A4">
        <w:rPr>
          <w:rFonts w:eastAsia="Calibri"/>
        </w:rPr>
        <w:t xml:space="preserve">It is in fact arguable that in the course of his oral submissions Mr Stilitz abandoned </w:t>
      </w:r>
      <w:r w:rsidR="00994CF7">
        <w:rPr>
          <w:rFonts w:eastAsia="Calibri"/>
        </w:rPr>
        <w:t>that case</w:t>
      </w:r>
      <w:r w:rsidR="00E914A4">
        <w:rPr>
          <w:rFonts w:eastAsia="Calibri"/>
        </w:rPr>
        <w:t>: see para. 82</w:t>
      </w:r>
      <w:r w:rsidR="005B1142">
        <w:rPr>
          <w:rFonts w:eastAsia="Calibri"/>
        </w:rPr>
        <w:t xml:space="preserve"> below.  </w:t>
      </w:r>
      <w:r w:rsidR="00994CF7" w:rsidRPr="00A964A4">
        <w:rPr>
          <w:rFonts w:eastAsia="Calibri"/>
        </w:rPr>
        <w:t xml:space="preserve">However, </w:t>
      </w:r>
      <w:r w:rsidR="00AC28D1">
        <w:rPr>
          <w:rFonts w:eastAsia="Calibri"/>
        </w:rPr>
        <w:t>I will consider</w:t>
      </w:r>
      <w:r w:rsidR="00994CF7">
        <w:rPr>
          <w:rFonts w:eastAsia="Calibri"/>
        </w:rPr>
        <w:t xml:space="preserve"> </w:t>
      </w:r>
      <w:r w:rsidR="00AC28D1">
        <w:rPr>
          <w:rFonts w:eastAsia="Calibri"/>
        </w:rPr>
        <w:t>the point</w:t>
      </w:r>
      <w:r w:rsidR="00994CF7">
        <w:rPr>
          <w:rFonts w:eastAsia="Calibri"/>
        </w:rPr>
        <w:t xml:space="preserve"> on its merits. </w:t>
      </w:r>
    </w:p>
    <w:p w:rsidR="00994CF7" w:rsidRPr="007E3DA8" w:rsidRDefault="00994CF7" w:rsidP="00763FDB">
      <w:pPr>
        <w:pStyle w:val="ParaLevel1"/>
        <w:rPr>
          <w:rFonts w:eastAsia="Calibri"/>
        </w:rPr>
      </w:pPr>
      <w:r>
        <w:t xml:space="preserve">With respect to </w:t>
      </w:r>
      <w:r w:rsidR="005E457D">
        <w:rPr>
          <w:rFonts w:eastAsia="Calibri"/>
        </w:rPr>
        <w:t>Mr Stilitz</w:t>
      </w:r>
      <w:r>
        <w:t xml:space="preserve"> and to Mitting J, their </w:t>
      </w:r>
      <w:r w:rsidR="005E457D">
        <w:t>argument</w:t>
      </w:r>
      <w:r>
        <w:t xml:space="preserve"> appears to confuse the detriment of which the worker complains with the loss caused by that detriment.  </w:t>
      </w:r>
      <w:r w:rsidR="009320A3">
        <w:t>As I have already observed, the</w:t>
      </w:r>
      <w:r>
        <w:rPr>
          <w:rFonts w:eastAsia="Calibri"/>
        </w:rPr>
        <w:t xml:space="preserve"> “detriment in question” </w:t>
      </w:r>
      <w:r w:rsidR="009320A3">
        <w:rPr>
          <w:rFonts w:eastAsia="Calibri"/>
        </w:rPr>
        <w:t xml:space="preserve">in sub-section (2) </w:t>
      </w:r>
      <w:r>
        <w:rPr>
          <w:rFonts w:eastAsia="Calibri"/>
        </w:rPr>
        <w:t xml:space="preserve">must be the detriment to which the claimant complains that he or she has been subjected contrary to section 47B (1) or (1A) – in other words, his or her cause of action – which in a case of the kind </w:t>
      </w:r>
      <w:r w:rsidR="009320A3">
        <w:rPr>
          <w:rFonts w:eastAsia="Calibri"/>
        </w:rPr>
        <w:t xml:space="preserve">which we are now considering </w:t>
      </w:r>
      <w:r>
        <w:rPr>
          <w:rFonts w:eastAsia="Calibri"/>
        </w:rPr>
        <w:t xml:space="preserve">is not the dismissal but the </w:t>
      </w:r>
      <w:r w:rsidR="0085538F">
        <w:rPr>
          <w:rFonts w:eastAsia="Calibri"/>
        </w:rPr>
        <w:t xml:space="preserve">distinct </w:t>
      </w:r>
      <w:r>
        <w:rPr>
          <w:rFonts w:eastAsia="Calibri"/>
        </w:rPr>
        <w:t xml:space="preserve">prior act which caused </w:t>
      </w:r>
      <w:r w:rsidR="0085538F">
        <w:rPr>
          <w:rFonts w:eastAsia="Calibri"/>
        </w:rPr>
        <w:t>it</w:t>
      </w:r>
      <w:r>
        <w:rPr>
          <w:rFonts w:eastAsia="Calibri"/>
        </w:rPr>
        <w:t>.  What section 47B (2) does is to exclude the operation of sub-sections (1) and (1A) where the cause of action “amounts to” dismissal.  Whatever the precise scope of that phrase (</w:t>
      </w:r>
      <w:r w:rsidR="00CD2E2C">
        <w:rPr>
          <w:rFonts w:eastAsia="Calibri"/>
        </w:rPr>
        <w:t xml:space="preserve">as to which </w:t>
      </w:r>
      <w:r w:rsidR="0085538F">
        <w:rPr>
          <w:rFonts w:eastAsia="Calibri"/>
        </w:rPr>
        <w:t>see above</w:t>
      </w:r>
      <w:r>
        <w:rPr>
          <w:rFonts w:eastAsia="Calibri"/>
        </w:rPr>
        <w:t>), it cannot be read as referring to losses caused by the detriment in question.</w:t>
      </w:r>
    </w:p>
    <w:p w:rsidR="00994CF7" w:rsidRDefault="00994CF7" w:rsidP="00763FDB">
      <w:pPr>
        <w:pStyle w:val="ParaLevel1"/>
        <w:rPr>
          <w:rFonts w:eastAsia="Calibri"/>
        </w:rPr>
      </w:pPr>
      <w:r>
        <w:rPr>
          <w:rFonts w:eastAsia="Calibri"/>
        </w:rPr>
        <w:t xml:space="preserve">Even if the effect of the language were less clear than I believe, there would be strong policy reasons for rejecting Mr Stilitz’s proposition.  It is not difficult to conceive of cases where conduct which was unlawful under section 47B resulted in the victim’s (fair) dismissal but where it would be plainly unjust if he or she were not able to recover for the losses caused by that dismissal as compensation for the original detriment.  </w:t>
      </w:r>
      <w:r w:rsidRPr="00AB6740">
        <w:rPr>
          <w:rFonts w:eastAsia="Calibri"/>
          <w:i/>
        </w:rPr>
        <w:t>Jhuti</w:t>
      </w:r>
      <w:r>
        <w:rPr>
          <w:rFonts w:eastAsia="Calibri"/>
        </w:rPr>
        <w:t xml:space="preserve"> is such a case, but since it is possible that the Supreme Court may overturn the decision on the unfair dismissal issue, I can take a different example which was raised in ora</w:t>
      </w:r>
      <w:r w:rsidR="00AD749C">
        <w:rPr>
          <w:rFonts w:eastAsia="Calibri"/>
        </w:rPr>
        <w:t>l submissions.  Take the case of a</w:t>
      </w:r>
      <w:r w:rsidR="00C079A5">
        <w:rPr>
          <w:rFonts w:eastAsia="Calibri"/>
        </w:rPr>
        <w:t xml:space="preserve">n employee </w:t>
      </w:r>
      <w:r w:rsidR="00AD749C">
        <w:rPr>
          <w:rFonts w:eastAsia="Calibri"/>
        </w:rPr>
        <w:t xml:space="preserve">who </w:t>
      </w:r>
      <w:r>
        <w:rPr>
          <w:rFonts w:eastAsia="Calibri"/>
        </w:rPr>
        <w:t>develop</w:t>
      </w:r>
      <w:r w:rsidR="00C079A5">
        <w:rPr>
          <w:rFonts w:eastAsia="Calibri"/>
        </w:rPr>
        <w:t>s</w:t>
      </w:r>
      <w:r>
        <w:rPr>
          <w:rFonts w:eastAsia="Calibri"/>
        </w:rPr>
        <w:t xml:space="preserve"> a serious long-term </w:t>
      </w:r>
      <w:r w:rsidR="00C079A5">
        <w:rPr>
          <w:rFonts w:eastAsia="Calibri"/>
        </w:rPr>
        <w:t xml:space="preserve">mental </w:t>
      </w:r>
      <w:r>
        <w:rPr>
          <w:rFonts w:eastAsia="Calibri"/>
        </w:rPr>
        <w:t xml:space="preserve">illness as a result of being victimised by his or her colleagues for having made a protected disclosure, with the result that the employer has eventually to dismiss them on ill-health grounds.  Assuming that the decision-maker has no improper motivation, the dismissal is likely to be fair, but it would be extraordinary if the claimant were not entitled </w:t>
      </w:r>
      <w:r w:rsidR="008F13AB">
        <w:rPr>
          <w:rFonts w:eastAsia="Calibri"/>
        </w:rPr>
        <w:t>to claim</w:t>
      </w:r>
      <w:r w:rsidR="00E914A4">
        <w:rPr>
          <w:rFonts w:eastAsia="Calibri"/>
        </w:rPr>
        <w:t xml:space="preserve"> against the individuals who victimised him or her (and thus</w:t>
      </w:r>
      <w:r w:rsidR="004505E8">
        <w:rPr>
          <w:rFonts w:eastAsia="Calibri"/>
        </w:rPr>
        <w:t>,</w:t>
      </w:r>
      <w:r w:rsidR="00E914A4">
        <w:rPr>
          <w:rFonts w:eastAsia="Calibri"/>
        </w:rPr>
        <w:t xml:space="preserve"> potentially, against the employer under sub-section (1B))</w:t>
      </w:r>
      <w:r w:rsidR="008F13AB">
        <w:rPr>
          <w:rFonts w:eastAsia="Calibri"/>
        </w:rPr>
        <w:t xml:space="preserve"> </w:t>
      </w:r>
      <w:r>
        <w:rPr>
          <w:rFonts w:eastAsia="Calibri"/>
        </w:rPr>
        <w:t xml:space="preserve">for the full financial loss suffered as a </w:t>
      </w:r>
      <w:r w:rsidR="004505E8">
        <w:rPr>
          <w:rFonts w:eastAsia="Calibri"/>
        </w:rPr>
        <w:t>result of the loss of their</w:t>
      </w:r>
      <w:r>
        <w:rPr>
          <w:rFonts w:eastAsia="Calibri"/>
        </w:rPr>
        <w:t xml:space="preserve"> job</w:t>
      </w:r>
      <w:r w:rsidR="00E914A4">
        <w:rPr>
          <w:rFonts w:eastAsia="Calibri"/>
        </w:rPr>
        <w:t xml:space="preserve"> (subject to any issue as to remoteness)</w:t>
      </w:r>
      <w:r>
        <w:rPr>
          <w:rFonts w:eastAsia="Calibri"/>
        </w:rPr>
        <w:t>.  Indeed when this point was put to him Mr Stilitz acknowledged that, if causation could indeed be established, “compensation for dismissal consequent on detriment” could be awarded</w:t>
      </w:r>
      <w:r w:rsidR="00F96B5F">
        <w:rPr>
          <w:rFonts w:eastAsia="Calibri"/>
        </w:rPr>
        <w:t xml:space="preserve"> in such cases</w:t>
      </w:r>
      <w:r w:rsidR="001334D2">
        <w:rPr>
          <w:rFonts w:eastAsia="Calibri"/>
        </w:rPr>
        <w:t>, though h</w:t>
      </w:r>
      <w:r>
        <w:rPr>
          <w:rFonts w:eastAsia="Calibri"/>
        </w:rPr>
        <w:t xml:space="preserve">e said that </w:t>
      </w:r>
      <w:r w:rsidR="00F96B5F">
        <w:rPr>
          <w:rFonts w:eastAsia="Calibri"/>
        </w:rPr>
        <w:t>they</w:t>
      </w:r>
      <w:r>
        <w:rPr>
          <w:rFonts w:eastAsia="Calibri"/>
        </w:rPr>
        <w:t xml:space="preserve"> would be unusual</w:t>
      </w:r>
      <w:r w:rsidR="001334D2">
        <w:rPr>
          <w:rFonts w:eastAsia="Calibri"/>
        </w:rPr>
        <w:t>.  That</w:t>
      </w:r>
      <w:r w:rsidR="00F96B5F">
        <w:rPr>
          <w:rFonts w:eastAsia="Calibri"/>
        </w:rPr>
        <w:t xml:space="preserve"> concession is</w:t>
      </w:r>
      <w:r w:rsidR="00C31118">
        <w:rPr>
          <w:rFonts w:eastAsia="Calibri"/>
        </w:rPr>
        <w:t xml:space="preserve"> inconsistent with </w:t>
      </w:r>
      <w:r w:rsidR="003D6EF9">
        <w:rPr>
          <w:rFonts w:eastAsia="Calibri"/>
        </w:rPr>
        <w:t>any submission</w:t>
      </w:r>
      <w:r w:rsidR="00562D9B">
        <w:rPr>
          <w:rFonts w:eastAsia="Calibri"/>
        </w:rPr>
        <w:t xml:space="preserve"> that such recovery is unavailable in principle</w:t>
      </w:r>
      <w:r w:rsidR="00F96B5F">
        <w:rPr>
          <w:rFonts w:eastAsia="Calibri"/>
        </w:rPr>
        <w:t>, and</w:t>
      </w:r>
      <w:r>
        <w:rPr>
          <w:rFonts w:eastAsia="Calibri"/>
        </w:rPr>
        <w:t xml:space="preserve"> it is for that reason that I said at the start of this section that it is arguable that </w:t>
      </w:r>
      <w:r w:rsidR="0085538F">
        <w:rPr>
          <w:rFonts w:eastAsia="Calibri"/>
        </w:rPr>
        <w:t xml:space="preserve">Mr Stilitz was in fact </w:t>
      </w:r>
      <w:r>
        <w:rPr>
          <w:rFonts w:eastAsia="Calibri"/>
        </w:rPr>
        <w:t xml:space="preserve">no longer </w:t>
      </w:r>
      <w:r w:rsidR="002D7AD6">
        <w:rPr>
          <w:rFonts w:eastAsia="Calibri"/>
        </w:rPr>
        <w:t xml:space="preserve">advancing this part of </w:t>
      </w:r>
      <w:r w:rsidR="00562D9B">
        <w:rPr>
          <w:rFonts w:eastAsia="Calibri"/>
        </w:rPr>
        <w:t>his</w:t>
      </w:r>
      <w:r w:rsidR="002D7AD6">
        <w:rPr>
          <w:rFonts w:eastAsia="Calibri"/>
        </w:rPr>
        <w:t xml:space="preserve"> case</w:t>
      </w:r>
      <w:r>
        <w:rPr>
          <w:rFonts w:eastAsia="Calibri"/>
        </w:rPr>
        <w:t>.</w:t>
      </w:r>
    </w:p>
    <w:p w:rsidR="00994CF7" w:rsidRPr="002D7AD6" w:rsidRDefault="00994CF7" w:rsidP="00763FDB">
      <w:pPr>
        <w:pStyle w:val="ParaLevel1"/>
        <w:rPr>
          <w:rFonts w:eastAsia="Calibri"/>
        </w:rPr>
      </w:pPr>
      <w:r w:rsidRPr="002D7AD6">
        <w:rPr>
          <w:rFonts w:eastAsia="Calibri"/>
        </w:rPr>
        <w:t xml:space="preserve">The Appellants’ arguments in the EAT do not appear to have distinguished so clearly between </w:t>
      </w:r>
      <w:r w:rsidR="00E914A4">
        <w:rPr>
          <w:rFonts w:eastAsia="Calibri"/>
        </w:rPr>
        <w:t xml:space="preserve">the </w:t>
      </w:r>
      <w:r w:rsidRPr="002D7AD6">
        <w:rPr>
          <w:rFonts w:eastAsia="Calibri"/>
        </w:rPr>
        <w:t>two propositions</w:t>
      </w:r>
      <w:r w:rsidR="00E914A4">
        <w:rPr>
          <w:rFonts w:eastAsia="Calibri"/>
        </w:rPr>
        <w:t xml:space="preserve"> identified at para. 56 above</w:t>
      </w:r>
      <w:r w:rsidR="003D6EF9">
        <w:rPr>
          <w:rFonts w:eastAsia="Calibri"/>
        </w:rPr>
        <w:t>,</w:t>
      </w:r>
      <w:r w:rsidRPr="002D7AD6">
        <w:rPr>
          <w:rFonts w:eastAsia="Calibri"/>
        </w:rPr>
        <w:t xml:space="preserve"> and Simler P was not required to confront proposition (i) as such.  Mr </w:t>
      </w:r>
      <w:r w:rsidR="00C6567F">
        <w:rPr>
          <w:rFonts w:eastAsia="Calibri"/>
        </w:rPr>
        <w:t>Forshaw</w:t>
      </w:r>
      <w:r w:rsidRPr="002D7AD6">
        <w:rPr>
          <w:rFonts w:eastAsia="Calibri"/>
        </w:rPr>
        <w:t xml:space="preserve"> did, however, rely on para. 28 of Mitting J’s judgment in </w:t>
      </w:r>
      <w:r w:rsidRPr="002D7AD6">
        <w:rPr>
          <w:rFonts w:eastAsia="Calibri"/>
          <w:i/>
        </w:rPr>
        <w:t>Jhuti</w:t>
      </w:r>
      <w:r w:rsidRPr="002D7AD6">
        <w:rPr>
          <w:rFonts w:eastAsia="Calibri"/>
        </w:rPr>
        <w:t>.  Simler P said at para. 162 of her judgment that she was not prepared to</w:t>
      </w:r>
      <w:r w:rsidR="000B28CF">
        <w:rPr>
          <w:rFonts w:eastAsia="Calibri"/>
        </w:rPr>
        <w:t xml:space="preserve"> follow Mitting J’s observations</w:t>
      </w:r>
      <w:r w:rsidRPr="002D7AD6">
        <w:rPr>
          <w:rFonts w:eastAsia="Calibri"/>
        </w:rPr>
        <w:t xml:space="preserve">.  She said that </w:t>
      </w:r>
      <w:r w:rsidR="00DE3849">
        <w:rPr>
          <w:rFonts w:eastAsia="Calibri"/>
        </w:rPr>
        <w:t>he</w:t>
      </w:r>
      <w:r w:rsidRPr="002D7AD6">
        <w:rPr>
          <w:rFonts w:eastAsia="Calibri"/>
        </w:rPr>
        <w:t xml:space="preserve"> had overlooked section 48 (5) of the Act and had proceeded on the basis that the claimant could only succeed by attributing the motivation of the line manager to the person who took the decision to dismiss.  </w:t>
      </w:r>
      <w:r w:rsidR="003D6EF9">
        <w:rPr>
          <w:rFonts w:eastAsia="Calibri"/>
        </w:rPr>
        <w:t>That</w:t>
      </w:r>
      <w:r w:rsidRPr="002D7AD6">
        <w:rPr>
          <w:rFonts w:eastAsia="Calibri"/>
        </w:rPr>
        <w:t xml:space="preserve"> reasoning </w:t>
      </w:r>
      <w:r w:rsidR="003D6EF9">
        <w:rPr>
          <w:rFonts w:eastAsia="Calibri"/>
        </w:rPr>
        <w:t>may be different from mine but our conclusions are the same</w:t>
      </w:r>
      <w:r w:rsidRPr="002D7AD6">
        <w:rPr>
          <w:rFonts w:eastAsia="Calibri"/>
        </w:rPr>
        <w:t xml:space="preserve">. </w:t>
      </w:r>
    </w:p>
    <w:p w:rsidR="002E5194" w:rsidRPr="002E5194" w:rsidRDefault="00994CF7" w:rsidP="00763FDB">
      <w:pPr>
        <w:pStyle w:val="ParaLevel1"/>
        <w:rPr>
          <w:rFonts w:eastAsia="Calibri"/>
        </w:rPr>
      </w:pPr>
      <w:r>
        <w:rPr>
          <w:rFonts w:eastAsia="Calibri"/>
        </w:rPr>
        <w:t xml:space="preserve">It follows that I would </w:t>
      </w:r>
      <w:r w:rsidR="00E70CDC">
        <w:rPr>
          <w:rFonts w:eastAsia="Calibri"/>
        </w:rPr>
        <w:t>hold that s</w:t>
      </w:r>
      <w:r>
        <w:rPr>
          <w:rFonts w:eastAsia="Calibri"/>
        </w:rPr>
        <w:t xml:space="preserve">ection 47B (2) places no barrier to recovery of compensation for losses flowing from a dismissal which was itself caused by a prior </w:t>
      </w:r>
      <w:r w:rsidR="00CD2E2C">
        <w:rPr>
          <w:rFonts w:eastAsia="Calibri"/>
        </w:rPr>
        <w:t>act of whistleblower</w:t>
      </w:r>
      <w:r>
        <w:rPr>
          <w:rFonts w:eastAsia="Calibri"/>
        </w:rPr>
        <w:t xml:space="preserve"> detriment.</w:t>
      </w:r>
      <w:r w:rsidR="004505E8">
        <w:rPr>
          <w:rFonts w:eastAsia="Calibri"/>
        </w:rPr>
        <w:t xml:space="preserve">  For the avoidance of doubt, such compensation would be subject to the usual rules about remoteness and discounting for contingencies</w:t>
      </w:r>
      <w:r w:rsidR="000801FD">
        <w:rPr>
          <w:rFonts w:eastAsia="Calibri"/>
        </w:rPr>
        <w:t xml:space="preserve"> (including the contingency that the employment might have terminated in any event)</w:t>
      </w:r>
      <w:r w:rsidR="004505E8">
        <w:rPr>
          <w:rFonts w:eastAsia="Calibri"/>
        </w:rPr>
        <w:t xml:space="preserve">. </w:t>
      </w:r>
    </w:p>
    <w:p w:rsidR="00FA1B80" w:rsidRPr="00BB4A3F" w:rsidRDefault="00BB4A3F" w:rsidP="00763FDB">
      <w:pPr>
        <w:pStyle w:val="ParaLevel1"/>
        <w:numPr>
          <w:ilvl w:val="0"/>
          <w:numId w:val="0"/>
        </w:numPr>
        <w:rPr>
          <w:rFonts w:eastAsia="Calibri"/>
          <w:i/>
          <w:u w:val="single"/>
        </w:rPr>
      </w:pPr>
      <w:r>
        <w:rPr>
          <w:rFonts w:eastAsia="Calibri"/>
          <w:i/>
          <w:u w:val="single"/>
        </w:rPr>
        <w:t>MELIA</w:t>
      </w:r>
    </w:p>
    <w:p w:rsidR="00FA1B80" w:rsidRDefault="00D4214B" w:rsidP="00763FDB">
      <w:pPr>
        <w:pStyle w:val="ParaLevel1"/>
        <w:rPr>
          <w:rFonts w:eastAsia="Calibri"/>
        </w:rPr>
      </w:pPr>
      <w:r>
        <w:rPr>
          <w:rFonts w:eastAsia="Calibri"/>
        </w:rPr>
        <w:t>I have</w:t>
      </w:r>
      <w:r w:rsidR="006930C5">
        <w:rPr>
          <w:rFonts w:eastAsia="Calibri"/>
        </w:rPr>
        <w:t xml:space="preserve"> deliberately postponed considering</w:t>
      </w:r>
      <w:r>
        <w:rPr>
          <w:rFonts w:eastAsia="Calibri"/>
        </w:rPr>
        <w:t xml:space="preserve"> </w:t>
      </w:r>
      <w:r w:rsidRPr="00D4214B">
        <w:rPr>
          <w:rFonts w:eastAsia="Calibri"/>
          <w:i/>
        </w:rPr>
        <w:t>Melia</w:t>
      </w:r>
      <w:r w:rsidR="006930C5">
        <w:rPr>
          <w:rFonts w:eastAsia="Calibri"/>
        </w:rPr>
        <w:t xml:space="preserve">; but it should be possible at this stage to explain quite shortly why </w:t>
      </w:r>
      <w:r w:rsidR="00F16F25">
        <w:rPr>
          <w:rFonts w:eastAsia="Calibri"/>
        </w:rPr>
        <w:t>I do not believe that there is anything in it inconsistent with the conclusions reach</w:t>
      </w:r>
      <w:r w:rsidR="00FE5FC0">
        <w:rPr>
          <w:rFonts w:eastAsia="Calibri"/>
        </w:rPr>
        <w:t>ed above.</w:t>
      </w:r>
    </w:p>
    <w:p w:rsidR="007E04C7" w:rsidRDefault="007E04C7" w:rsidP="00763FDB">
      <w:pPr>
        <w:pStyle w:val="ParaLevel1"/>
        <w:rPr>
          <w:rFonts w:eastAsia="Calibri"/>
        </w:rPr>
      </w:pPr>
      <w:r>
        <w:t>The</w:t>
      </w:r>
      <w:r w:rsidRPr="00C25B12">
        <w:rPr>
          <w:rFonts w:eastAsia="Calibri"/>
        </w:rPr>
        <w:t xml:space="preserve"> claimant </w:t>
      </w:r>
      <w:r>
        <w:rPr>
          <w:rFonts w:eastAsia="Calibri"/>
        </w:rPr>
        <w:t xml:space="preserve">in </w:t>
      </w:r>
      <w:r w:rsidRPr="00C86E9F">
        <w:rPr>
          <w:rFonts w:eastAsia="Calibri"/>
          <w:i/>
        </w:rPr>
        <w:t>Melia</w:t>
      </w:r>
      <w:r>
        <w:rPr>
          <w:rFonts w:eastAsia="Calibri"/>
        </w:rPr>
        <w:t xml:space="preserve"> </w:t>
      </w:r>
      <w:r w:rsidRPr="00C25B12">
        <w:rPr>
          <w:rFonts w:eastAsia="Calibri"/>
        </w:rPr>
        <w:t xml:space="preserve">suffered a series of detriments – characterised generally as “bullying” – over a long period as a result of having made a protected disclosure; and on 9 November 2001 he resigned.  The ET found both that the bullying which he had suffered up to 8 November constituted unlawful detriments contrary to section 47B and that he had been unfairly (constructively) dismissed under section 103A.  When it assessed compensation it held that he was entitled to an award for the injury to feelings caused by the unlawful detriments but not for the injury caused by the unfair dismissal: no doubt it was following the decision of the EAT in </w:t>
      </w:r>
      <w:r w:rsidRPr="00C25B12">
        <w:rPr>
          <w:rFonts w:eastAsia="Calibri"/>
          <w:i/>
        </w:rPr>
        <w:t>Dunnachie</w:t>
      </w:r>
      <w:r w:rsidRPr="00C25B12">
        <w:rPr>
          <w:rFonts w:eastAsia="Calibri"/>
        </w:rPr>
        <w:t xml:space="preserve">, which was to the same effect as the later decision of the House of Lords.  The question then arose as to the period which such an award should cover.  The ET held that it should cover only the period up to “late June”, on the basis that it was at that point that the employer’s conduct reached a sufficient level of seriousness to constitute a fundamental breach, and that it should therefore be regarded thereafter as constituting part of the dismissal.  </w:t>
      </w:r>
      <w:r w:rsidRPr="00C86E9F">
        <w:rPr>
          <w:rFonts w:eastAsia="Calibri"/>
        </w:rPr>
        <w:t>The claimant appealed on the basis that the period in respect of which he was awarded compensation for injury to feelings should have extended up to the point of his resignation.  The EAT dismissed his appeal, but this Court allowed it.</w:t>
      </w:r>
    </w:p>
    <w:p w:rsidR="007E04C7" w:rsidRDefault="007E04C7" w:rsidP="00763FDB">
      <w:pPr>
        <w:pStyle w:val="ParaLevel1"/>
        <w:rPr>
          <w:rFonts w:eastAsia="Calibri"/>
        </w:rPr>
      </w:pPr>
      <w:r w:rsidRPr="00C86E9F">
        <w:rPr>
          <w:rFonts w:eastAsia="Calibri"/>
        </w:rPr>
        <w:t xml:space="preserve">Chadwick LJ, </w:t>
      </w:r>
      <w:r>
        <w:rPr>
          <w:rFonts w:eastAsia="Calibri"/>
        </w:rPr>
        <w:t xml:space="preserve">with </w:t>
      </w:r>
      <w:r w:rsidRPr="00C86E9F">
        <w:rPr>
          <w:rFonts w:eastAsia="Calibri"/>
        </w:rPr>
        <w:t>who</w:t>
      </w:r>
      <w:r>
        <w:rPr>
          <w:rFonts w:eastAsia="Calibri"/>
        </w:rPr>
        <w:t>m Smith and Wilson LJJ agreed,</w:t>
      </w:r>
      <w:r w:rsidRPr="00C86E9F">
        <w:rPr>
          <w:rFonts w:eastAsia="Calibri"/>
        </w:rPr>
        <w:t xml:space="preserve"> </w:t>
      </w:r>
      <w:r>
        <w:rPr>
          <w:rFonts w:eastAsia="Calibri"/>
        </w:rPr>
        <w:t xml:space="preserve">began </w:t>
      </w:r>
      <w:r w:rsidR="00FE5FC0">
        <w:rPr>
          <w:rFonts w:eastAsia="Calibri"/>
        </w:rPr>
        <w:t xml:space="preserve">the substantive part of </w:t>
      </w:r>
      <w:r>
        <w:rPr>
          <w:rFonts w:eastAsia="Calibri"/>
        </w:rPr>
        <w:t xml:space="preserve">his </w:t>
      </w:r>
      <w:r w:rsidR="00FE5FC0">
        <w:rPr>
          <w:rFonts w:eastAsia="Calibri"/>
        </w:rPr>
        <w:t xml:space="preserve">judgment </w:t>
      </w:r>
      <w:r>
        <w:rPr>
          <w:rFonts w:eastAsia="Calibri"/>
        </w:rPr>
        <w:t>with a careful analys</w:t>
      </w:r>
      <w:r w:rsidR="00FE5FC0">
        <w:rPr>
          <w:rFonts w:eastAsia="Calibri"/>
        </w:rPr>
        <w:t xml:space="preserve">is of the </w:t>
      </w:r>
      <w:r w:rsidR="00955B83">
        <w:rPr>
          <w:rFonts w:eastAsia="Calibri"/>
        </w:rPr>
        <w:t xml:space="preserve">whistleblower provisions in Parts </w:t>
      </w:r>
      <w:r>
        <w:rPr>
          <w:rFonts w:eastAsia="Calibri"/>
        </w:rPr>
        <w:t xml:space="preserve">V and X of the 1996 Act, which had not </w:t>
      </w:r>
      <w:r w:rsidR="00955B83">
        <w:rPr>
          <w:rFonts w:eastAsia="Calibri"/>
        </w:rPr>
        <w:t xml:space="preserve">of course </w:t>
      </w:r>
      <w:r>
        <w:rPr>
          <w:rFonts w:eastAsia="Calibri"/>
        </w:rPr>
        <w:t>at that date been amended by the 2013 Act.  Having set out the provisions relating to liability, he said, at para. 15 (p. 415-E-G):</w:t>
      </w:r>
    </w:p>
    <w:p w:rsidR="007E04C7" w:rsidRPr="001D0146" w:rsidRDefault="007E04C7" w:rsidP="00763FDB">
      <w:pPr>
        <w:pStyle w:val="ParaLevel1"/>
        <w:numPr>
          <w:ilvl w:val="0"/>
          <w:numId w:val="0"/>
        </w:numPr>
        <w:ind w:left="1418" w:right="793"/>
      </w:pPr>
      <w:bookmarkStart w:id="8" w:name="para15"/>
      <w:r>
        <w:t>“</w:t>
      </w:r>
      <w:r w:rsidRPr="001D0146">
        <w:t xml:space="preserve">As I have explained, sections 47B and 103A of the 1996 </w:t>
      </w:r>
      <w:r>
        <w:t>Act spring from the same root –</w:t>
      </w:r>
      <w:r w:rsidRPr="001D0146">
        <w:t xml:space="preserve"> the Public Interest Disclosure Act 1998. The two sections are parallel elements in the protection which Parliament has decided to give to whistleblowers. The sections would, in any event, be read together; if only because they are now sections in the same Act, the 1996 Act. But the fact that they spring from</w:t>
      </w:r>
      <w:r>
        <w:t xml:space="preserve"> the same root (the 1998 Act) – </w:t>
      </w:r>
      <w:r w:rsidRPr="001D0146">
        <w:t xml:space="preserve">and the fact that section 47B is plainly made subject to the limitation imposed by sub-section </w:t>
      </w:r>
      <w:r>
        <w:t>(2) with section 103A in mind –</w:t>
      </w:r>
      <w:r w:rsidRPr="001D0146">
        <w:t xml:space="preserve"> lead irresistibly to the conclusion that the two provisions are inten</w:t>
      </w:r>
      <w:r>
        <w:t xml:space="preserve">ded to be complementary. To </w:t>
      </w:r>
      <w:r w:rsidRPr="001D0146">
        <w:t>put the point more simply: Parliament did not intend to confer a right under Part V of the 1996 Act for the protection of whistleblowers in circumstances where the worker (being an employee) would have a right under Part X of that Act in relation to the same loss or detriment.</w:t>
      </w:r>
      <w:bookmarkEnd w:id="8"/>
      <w:r>
        <w:t>”</w:t>
      </w:r>
    </w:p>
    <w:p w:rsidR="007E04C7" w:rsidRDefault="007E04C7" w:rsidP="00763FDB">
      <w:pPr>
        <w:pStyle w:val="ParaLevel1"/>
        <w:numPr>
          <w:ilvl w:val="0"/>
          <w:numId w:val="0"/>
        </w:numPr>
        <w:ind w:left="720"/>
        <w:rPr>
          <w:rFonts w:eastAsia="Calibri"/>
        </w:rPr>
      </w:pPr>
      <w:r>
        <w:rPr>
          <w:rFonts w:eastAsia="Calibri"/>
        </w:rPr>
        <w:t>He then proceeded to summarise the provisions of the two Parts relating to remedy.  At para. 21 (pp. 416-7) he said:</w:t>
      </w:r>
    </w:p>
    <w:p w:rsidR="007E04C7" w:rsidRPr="004A5700" w:rsidRDefault="007E04C7" w:rsidP="00763FDB">
      <w:pPr>
        <w:spacing w:before="100" w:beforeAutospacing="1" w:after="100" w:afterAutospacing="1"/>
        <w:ind w:left="1418" w:right="793"/>
        <w:jc w:val="both"/>
        <w:rPr>
          <w:rFonts w:ascii="Times" w:hAnsi="Times"/>
          <w:color w:val="000000"/>
          <w:sz w:val="27"/>
          <w:szCs w:val="27"/>
        </w:rPr>
      </w:pPr>
      <w:bookmarkStart w:id="9" w:name="para21"/>
      <w:r>
        <w:rPr>
          <w:rFonts w:ascii="Times" w:hAnsi="Times"/>
          <w:color w:val="000000"/>
          <w:sz w:val="27"/>
          <w:szCs w:val="27"/>
        </w:rPr>
        <w:t>“</w:t>
      </w:r>
      <w:r w:rsidRPr="003C3089">
        <w:rPr>
          <w:color w:val="000000"/>
        </w:rPr>
        <w:t>It is clear, therefore, that in a case where compensation is to be awarded under Part X it is limited to compensation for loss sustained in consequence of the dismissal. It will not include compensation for loss sustained prior to the dismissal. Loss sustained prior to the dismissal cannot be loss sustained in consequence of the dismissal. That is an important feature to keep in mind when considering the inter-relation between compensation under section 49 for detriment suffered as a result of the infringement of the right conferred by section 47B, and the compensation which can be awarded under Part X of the Act.</w:t>
      </w:r>
      <w:bookmarkEnd w:id="9"/>
      <w:r>
        <w:rPr>
          <w:color w:val="000000"/>
        </w:rPr>
        <w:t>”</w:t>
      </w:r>
    </w:p>
    <w:p w:rsidR="00C05AA7" w:rsidRDefault="00C05AA7" w:rsidP="00763FDB">
      <w:pPr>
        <w:pStyle w:val="ParaLevel1"/>
        <w:numPr>
          <w:ilvl w:val="0"/>
          <w:numId w:val="0"/>
        </w:numPr>
        <w:ind w:left="720"/>
        <w:rPr>
          <w:rFonts w:eastAsia="Calibri"/>
        </w:rPr>
      </w:pPr>
      <w:r>
        <w:rPr>
          <w:rFonts w:eastAsia="Calibri"/>
        </w:rPr>
        <w:t>It is that paragraph which foreshadows the ratio of the case.</w:t>
      </w:r>
    </w:p>
    <w:p w:rsidR="007E04C7" w:rsidRPr="00C86E9F" w:rsidRDefault="004A5700" w:rsidP="00763FDB">
      <w:pPr>
        <w:pStyle w:val="ParaLevel1"/>
        <w:rPr>
          <w:rFonts w:eastAsia="Calibri"/>
        </w:rPr>
      </w:pPr>
      <w:r>
        <w:rPr>
          <w:rFonts w:eastAsia="Calibri"/>
        </w:rPr>
        <w:t>Chadwick LJ then</w:t>
      </w:r>
      <w:r w:rsidR="007E04C7">
        <w:rPr>
          <w:rFonts w:eastAsia="Calibri"/>
        </w:rPr>
        <w:t xml:space="preserve"> </w:t>
      </w:r>
      <w:r w:rsidR="007E04C7" w:rsidRPr="00C86E9F">
        <w:rPr>
          <w:rFonts w:eastAsia="Calibri"/>
        </w:rPr>
        <w:t>summarised the claimant’s argument (at pp. 419-420) as follows:</w:t>
      </w:r>
    </w:p>
    <w:p w:rsidR="007E04C7" w:rsidRPr="00AB6F71" w:rsidRDefault="007E04C7" w:rsidP="00763FDB">
      <w:pPr>
        <w:spacing w:before="100" w:beforeAutospacing="1" w:after="100" w:afterAutospacing="1"/>
        <w:ind w:left="1418" w:right="793"/>
        <w:jc w:val="both"/>
        <w:rPr>
          <w:color w:val="000000"/>
        </w:rPr>
      </w:pPr>
      <w:bookmarkStart w:id="10" w:name="para32"/>
      <w:r w:rsidRPr="00AB6F71">
        <w:rPr>
          <w:color w:val="000000"/>
        </w:rPr>
        <w:t>“32. … He submits that the rights given by section 47B of the Act are only limited by the words where the worker is an employee and the detriment in question amounts to dismissal within the meaning of Part X’. So, he submits, the relevant inquiry is: ‘to what extent is the detriment about which he is complaining a detriment for which he can be compensated under Part X?’ To the extent that the loss is one for which he can be compensated under Part X, he will obtain compensation under Part X and he cannot be compensated under Part V. But there is no reason why he should be denied compensation under Part V in respect of any detriment flowing from the fact that he made a protected disclosure if his loss arising from that detriment is not capable of being compensated under Part X.</w:t>
      </w:r>
      <w:bookmarkEnd w:id="10"/>
    </w:p>
    <w:p w:rsidR="007E04C7" w:rsidRPr="00772A9A" w:rsidRDefault="007E04C7" w:rsidP="00763FDB">
      <w:pPr>
        <w:spacing w:before="100" w:beforeAutospacing="1" w:after="100" w:afterAutospacing="1"/>
        <w:ind w:left="1418" w:right="793"/>
        <w:jc w:val="both"/>
        <w:rPr>
          <w:rFonts w:ascii="Times" w:hAnsi="Times"/>
          <w:color w:val="000000"/>
          <w:sz w:val="27"/>
          <w:szCs w:val="27"/>
        </w:rPr>
      </w:pPr>
      <w:r>
        <w:rPr>
          <w:color w:val="000000"/>
        </w:rPr>
        <w:t xml:space="preserve">33.  </w:t>
      </w:r>
      <w:r w:rsidRPr="00AB6F71">
        <w:rPr>
          <w:color w:val="000000"/>
        </w:rPr>
        <w:t>[The claimant] points out that the detriment for which he can be compensated under Part X – having regard to section 123 – is loss sustained in consequence of the dismissal. That is loss which he suffered after the effective date of dismissal – 9 November 2001. Detriment sustained before 9 November 2001 is not taken out of section 47B (and Part V) by the limitation in section 47B(2). It is not detriment which ‘amounts to dismissal’</w:t>
      </w:r>
      <w:r>
        <w:rPr>
          <w:color w:val="000000"/>
        </w:rPr>
        <w:t xml:space="preserve"> </w:t>
      </w:r>
      <w:r w:rsidRPr="00AB6F71">
        <w:rPr>
          <w:color w:val="000000"/>
        </w:rPr>
        <w:t>when the two sections are properly read together.”</w:t>
      </w:r>
    </w:p>
    <w:p w:rsidR="007E04C7" w:rsidRDefault="007E04C7" w:rsidP="00763FDB">
      <w:pPr>
        <w:pStyle w:val="ParaLevel1"/>
        <w:numPr>
          <w:ilvl w:val="0"/>
          <w:numId w:val="0"/>
        </w:numPr>
        <w:ind w:left="720"/>
        <w:rPr>
          <w:rFonts w:eastAsia="Calibri"/>
        </w:rPr>
      </w:pPr>
      <w:r>
        <w:rPr>
          <w:rFonts w:eastAsia="Calibri"/>
        </w:rPr>
        <w:t>He continued, at para. 34 (p. 420 A-B):</w:t>
      </w:r>
    </w:p>
    <w:p w:rsidR="007E04C7" w:rsidRPr="00170152" w:rsidRDefault="007E04C7" w:rsidP="00763FDB">
      <w:pPr>
        <w:pStyle w:val="ParaLevel1"/>
        <w:numPr>
          <w:ilvl w:val="0"/>
          <w:numId w:val="0"/>
        </w:numPr>
        <w:ind w:left="1418" w:right="793"/>
      </w:pPr>
      <w:bookmarkStart w:id="11" w:name="para34"/>
      <w:r w:rsidRPr="00626079">
        <w:t>“In my view, [the claimant] is correct in the submissions which he makes. When the two sections are read together, the proper meaning to be given to the phrase ‘the detriment in question amounts to dismissal’ is that it excludes detriment which can be compensated under the unfair dismissal provisions. If the detriment cannot be compensated under the unfair dismissal provisions – for the reason that it is not a loss sustained in consequence of the dismissal –</w:t>
      </w:r>
      <w:r>
        <w:t xml:space="preserve"> </w:t>
      </w:r>
      <w:r w:rsidRPr="00626079">
        <w:t>then there is nothing to take it out of section 47(B); and the provisions in section 49, which require compensation for that detriment, should apply.</w:t>
      </w:r>
      <w:bookmarkEnd w:id="11"/>
      <w:r w:rsidRPr="00626079">
        <w:t>”</w:t>
      </w:r>
    </w:p>
    <w:p w:rsidR="003129FA" w:rsidRPr="003129FA" w:rsidRDefault="00170152" w:rsidP="00763FDB">
      <w:pPr>
        <w:pStyle w:val="ParaLevel1"/>
        <w:rPr>
          <w:rFonts w:eastAsia="Calibri"/>
        </w:rPr>
      </w:pPr>
      <w:r>
        <w:rPr>
          <w:rFonts w:eastAsia="Calibri"/>
        </w:rPr>
        <w:t>At paras. 35-36 (pp. 420-1) Chadwick LJ</w:t>
      </w:r>
      <w:r w:rsidR="003129FA" w:rsidRPr="003129FA">
        <w:rPr>
          <w:rFonts w:eastAsia="Calibri"/>
        </w:rPr>
        <w:t xml:space="preserve"> considered the reasoning of Burton P in the EAT.  This was based on the terms of section 95 (1) (c) of the 1996 Act.  Burton P held that in such a case what “amounted to” the dismissal was </w:t>
      </w:r>
      <w:r w:rsidR="003129FA" w:rsidRPr="00280856">
        <w:t xml:space="preserve">the </w:t>
      </w:r>
      <w:r w:rsidR="003129FA">
        <w:t>conduct of the employer which entitled the employee to resign, and thus that it fell within the terms of</w:t>
      </w:r>
      <w:r w:rsidR="00297DF6">
        <w:t xml:space="preserve"> section 47B (2).  Chadwick LJ’</w:t>
      </w:r>
      <w:r w:rsidR="00DE3849">
        <w:t>s reasons for rejecting</w:t>
      </w:r>
      <w:r w:rsidR="003129FA">
        <w:t xml:space="preserve"> that argument were expressed at para. </w:t>
      </w:r>
      <w:r w:rsidR="00DE3849">
        <w:t>36</w:t>
      </w:r>
      <w:r w:rsidR="003129FA">
        <w:t xml:space="preserve"> as follows (p. 421A-B):</w:t>
      </w:r>
    </w:p>
    <w:p w:rsidR="003129FA" w:rsidRDefault="003129FA" w:rsidP="00763FDB">
      <w:pPr>
        <w:pStyle w:val="ParaLevel1"/>
        <w:numPr>
          <w:ilvl w:val="0"/>
          <w:numId w:val="0"/>
        </w:numPr>
        <w:ind w:left="1418" w:right="828"/>
        <w:rPr>
          <w:rFonts w:eastAsia="Calibri"/>
        </w:rPr>
      </w:pPr>
      <w:bookmarkStart w:id="12" w:name="para36"/>
      <w:r w:rsidRPr="00916CAD">
        <w:t xml:space="preserve">“It is the employee's determination of the contract under which he is employed </w:t>
      </w:r>
      <w:r>
        <w:t>…</w:t>
      </w:r>
      <w:r w:rsidRPr="00916CAD">
        <w:t xml:space="preserve"> which amounts to dismissal, under section 95(1)(c), for the purposes of Part X of the Act. I reject the proposition that the act of termination by the employee (in circumstances where he may have no other realistic option) cannot, of itself, amount to a detriment. Section 47B(2) of the 1996 Act requires that ‘dismissal’ be given the meaning that it has in Part X. The meaning of ‘dismissal’ in Part X, as I have sought to explain, is that dismissal occurs when the employment is terminated, which, in the present case, was 9 November 2001; and not at some earlier date.</w:t>
      </w:r>
      <w:bookmarkEnd w:id="12"/>
      <w:r w:rsidRPr="00916CAD">
        <w:t>”</w:t>
      </w:r>
    </w:p>
    <w:p w:rsidR="00934CD7" w:rsidRDefault="00BA52AD" w:rsidP="00763FDB">
      <w:pPr>
        <w:pStyle w:val="ParaLevel1"/>
        <w:rPr>
          <w:rFonts w:eastAsia="Calibri"/>
        </w:rPr>
      </w:pPr>
      <w:r>
        <w:rPr>
          <w:rFonts w:eastAsia="Calibri"/>
        </w:rPr>
        <w:t xml:space="preserve">Mr Stilitz understandably sought to rely on Chadwick LJ’s observations to </w:t>
      </w:r>
      <w:r w:rsidR="00DC386E" w:rsidRPr="00170152">
        <w:rPr>
          <w:rFonts w:eastAsia="Calibri"/>
        </w:rPr>
        <w:t xml:space="preserve">the effect that </w:t>
      </w:r>
      <w:r w:rsidR="00692E65" w:rsidRPr="00170152">
        <w:rPr>
          <w:rFonts w:eastAsia="Calibri"/>
        </w:rPr>
        <w:t xml:space="preserve">the </w:t>
      </w:r>
      <w:r w:rsidR="00A41E38" w:rsidRPr="00170152">
        <w:rPr>
          <w:rFonts w:eastAsia="Calibri"/>
        </w:rPr>
        <w:t xml:space="preserve">policy behind </w:t>
      </w:r>
      <w:r w:rsidR="00692E65" w:rsidRPr="00170152">
        <w:rPr>
          <w:rFonts w:eastAsia="Calibri"/>
        </w:rPr>
        <w:t xml:space="preserve">sub-section </w:t>
      </w:r>
      <w:r w:rsidR="00DC386E" w:rsidRPr="00170152">
        <w:rPr>
          <w:rFonts w:eastAsia="Calibri"/>
        </w:rPr>
        <w:t>(2) was to prevent a claim</w:t>
      </w:r>
      <w:r w:rsidR="001F31E9">
        <w:rPr>
          <w:rFonts w:eastAsia="Calibri"/>
        </w:rPr>
        <w:t>ant recovering under Part V where</w:t>
      </w:r>
      <w:r w:rsidR="00DC386E" w:rsidRPr="00170152">
        <w:rPr>
          <w:rFonts w:eastAsia="Calibri"/>
        </w:rPr>
        <w:t xml:space="preserve"> he had a right under Part X </w:t>
      </w:r>
      <w:r w:rsidR="005B2B62" w:rsidRPr="00170152">
        <w:rPr>
          <w:rFonts w:eastAsia="Calibri"/>
        </w:rPr>
        <w:t xml:space="preserve">in respect of </w:t>
      </w:r>
      <w:r w:rsidR="00DC386E" w:rsidRPr="00170152">
        <w:rPr>
          <w:rFonts w:eastAsia="Calibri"/>
        </w:rPr>
        <w:t xml:space="preserve">the same </w:t>
      </w:r>
      <w:r w:rsidR="003D4D38" w:rsidRPr="00170152">
        <w:rPr>
          <w:rFonts w:eastAsia="Calibri"/>
        </w:rPr>
        <w:t>detriment</w:t>
      </w:r>
      <w:r w:rsidR="00F848C9">
        <w:rPr>
          <w:rFonts w:eastAsia="Calibri"/>
        </w:rPr>
        <w:t xml:space="preserve">: </w:t>
      </w:r>
      <w:r w:rsidR="003D4D38" w:rsidRPr="00170152">
        <w:rPr>
          <w:rFonts w:eastAsia="Calibri"/>
        </w:rPr>
        <w:t xml:space="preserve">see </w:t>
      </w:r>
      <w:r w:rsidR="0075147A" w:rsidRPr="00170152">
        <w:rPr>
          <w:rFonts w:eastAsia="Calibri"/>
        </w:rPr>
        <w:t xml:space="preserve">the end </w:t>
      </w:r>
      <w:r w:rsidR="00215C95" w:rsidRPr="00170152">
        <w:rPr>
          <w:rFonts w:eastAsia="Calibri"/>
        </w:rPr>
        <w:t xml:space="preserve">of </w:t>
      </w:r>
      <w:r w:rsidR="0075147A" w:rsidRPr="00170152">
        <w:rPr>
          <w:rFonts w:eastAsia="Calibri"/>
        </w:rPr>
        <w:t xml:space="preserve">para. 15, and his approval at para. 34 of the </w:t>
      </w:r>
      <w:r w:rsidR="00215C95" w:rsidRPr="00170152">
        <w:rPr>
          <w:rFonts w:eastAsia="Calibri"/>
        </w:rPr>
        <w:t xml:space="preserve">claimant’s arguments summarised at para. 32.  </w:t>
      </w:r>
      <w:r w:rsidR="001F31E9">
        <w:rPr>
          <w:rFonts w:eastAsia="Calibri"/>
        </w:rPr>
        <w:t>B</w:t>
      </w:r>
      <w:r w:rsidR="00F848C9">
        <w:rPr>
          <w:rFonts w:eastAsia="Calibri"/>
        </w:rPr>
        <w:t xml:space="preserve">ut those observations were made in the context of the particular issue in that case, namely whether the claimant could recover </w:t>
      </w:r>
      <w:r w:rsidR="00601ABE">
        <w:rPr>
          <w:rFonts w:eastAsia="Calibri"/>
        </w:rPr>
        <w:t>under Part X for an injury suffered prior to the dismissal.  That was a wholly different question from the issue before us</w:t>
      </w:r>
      <w:r w:rsidR="00321BA2">
        <w:rPr>
          <w:rFonts w:eastAsia="Calibri"/>
        </w:rPr>
        <w:t xml:space="preserve">.  </w:t>
      </w:r>
      <w:r w:rsidR="0020594B">
        <w:rPr>
          <w:rFonts w:eastAsia="Calibri"/>
        </w:rPr>
        <w:t>Chadwick</w:t>
      </w:r>
      <w:r w:rsidR="002E5194">
        <w:rPr>
          <w:rFonts w:eastAsia="Calibri"/>
        </w:rPr>
        <w:t xml:space="preserve"> LJ</w:t>
      </w:r>
      <w:r w:rsidR="0020594B">
        <w:rPr>
          <w:rFonts w:eastAsia="Calibri"/>
        </w:rPr>
        <w:t xml:space="preserve">’s analysis and mine of the </w:t>
      </w:r>
      <w:r w:rsidR="00321BA2">
        <w:rPr>
          <w:rFonts w:eastAsia="Calibri"/>
        </w:rPr>
        <w:t xml:space="preserve">policy behind sub-section (2) </w:t>
      </w:r>
      <w:r w:rsidR="00BE31BF">
        <w:rPr>
          <w:rFonts w:eastAsia="Calibri"/>
        </w:rPr>
        <w:t xml:space="preserve">are broadly the same, but </w:t>
      </w:r>
      <w:r w:rsidR="00CD0657">
        <w:rPr>
          <w:rFonts w:eastAsia="Calibri"/>
        </w:rPr>
        <w:t xml:space="preserve">he refers to the “the same loss or </w:t>
      </w:r>
      <w:r w:rsidR="00514209">
        <w:rPr>
          <w:rFonts w:eastAsia="Calibri"/>
        </w:rPr>
        <w:t xml:space="preserve">detriment” </w:t>
      </w:r>
      <w:r w:rsidR="00CD0657">
        <w:rPr>
          <w:rFonts w:eastAsia="Calibri"/>
        </w:rPr>
        <w:t>whereas I refer to “</w:t>
      </w:r>
      <w:r w:rsidR="00F435C3">
        <w:rPr>
          <w:rFonts w:eastAsia="Calibri"/>
        </w:rPr>
        <w:t xml:space="preserve">the identical claim”.  His language was entirely </w:t>
      </w:r>
      <w:r w:rsidR="00E22B6B">
        <w:rPr>
          <w:rFonts w:eastAsia="Calibri"/>
        </w:rPr>
        <w:t>appropriate</w:t>
      </w:r>
      <w:r w:rsidR="00F435C3">
        <w:rPr>
          <w:rFonts w:eastAsia="Calibri"/>
        </w:rPr>
        <w:t xml:space="preserve"> in the context of the pre-2013 legislation when the </w:t>
      </w:r>
      <w:r w:rsidR="00AE4237">
        <w:rPr>
          <w:rFonts w:eastAsia="Calibri"/>
        </w:rPr>
        <w:t>two phrases necessa</w:t>
      </w:r>
      <w:r w:rsidR="0021778E">
        <w:rPr>
          <w:rFonts w:eastAsia="Calibri"/>
        </w:rPr>
        <w:t>rily connoted the same thing: a</w:t>
      </w:r>
      <w:r w:rsidR="00AE4237">
        <w:rPr>
          <w:rFonts w:eastAsia="Calibri"/>
        </w:rPr>
        <w:t xml:space="preserve"> more refined approach is only necessary </w:t>
      </w:r>
      <w:r w:rsidR="0021778E">
        <w:rPr>
          <w:rFonts w:eastAsia="Calibri"/>
        </w:rPr>
        <w:t xml:space="preserve">now </w:t>
      </w:r>
      <w:r w:rsidR="00AE4237">
        <w:rPr>
          <w:rFonts w:eastAsia="Calibri"/>
        </w:rPr>
        <w:t xml:space="preserve">because of the possibility of having </w:t>
      </w:r>
      <w:r w:rsidR="00B26492">
        <w:rPr>
          <w:rFonts w:eastAsia="Calibri"/>
        </w:rPr>
        <w:t xml:space="preserve">claims against different respondents arising out of the dismissal.  That issue was not before the Court in that case </w:t>
      </w:r>
      <w:r w:rsidR="0021778E">
        <w:rPr>
          <w:rFonts w:eastAsia="Calibri"/>
        </w:rPr>
        <w:t>and Chadwick LJ</w:t>
      </w:r>
      <w:r w:rsidR="00DE3849">
        <w:rPr>
          <w:rFonts w:eastAsia="Calibri"/>
        </w:rPr>
        <w:t>’s language</w:t>
      </w:r>
      <w:r w:rsidR="0021778E">
        <w:rPr>
          <w:rFonts w:eastAsia="Calibri"/>
        </w:rPr>
        <w:t xml:space="preserve"> cann</w:t>
      </w:r>
      <w:r w:rsidR="00CE290E">
        <w:rPr>
          <w:rFonts w:eastAsia="Calibri"/>
        </w:rPr>
        <w:t>ot be treated as having any bea</w:t>
      </w:r>
      <w:r w:rsidR="0021778E">
        <w:rPr>
          <w:rFonts w:eastAsia="Calibri"/>
        </w:rPr>
        <w:t>ring on the question which we have to decide.</w:t>
      </w:r>
    </w:p>
    <w:p w:rsidR="0040720B" w:rsidRPr="000801FD" w:rsidRDefault="0040720B" w:rsidP="00763FDB">
      <w:pPr>
        <w:pStyle w:val="ParaHeading"/>
        <w:rPr>
          <w:rFonts w:eastAsia="Calibri"/>
          <w:u w:val="single"/>
        </w:rPr>
      </w:pPr>
      <w:r w:rsidRPr="000801FD">
        <w:rPr>
          <w:rFonts w:eastAsia="Calibri"/>
          <w:u w:val="single"/>
        </w:rPr>
        <w:t>SUMMARY ON THE EFFECT OF SECTION 47B (2)</w:t>
      </w:r>
    </w:p>
    <w:p w:rsidR="0040720B" w:rsidRDefault="0040720B" w:rsidP="00763FDB">
      <w:pPr>
        <w:pStyle w:val="ParaLevel1"/>
        <w:rPr>
          <w:rFonts w:eastAsia="Calibri"/>
        </w:rPr>
      </w:pPr>
      <w:r>
        <w:rPr>
          <w:rFonts w:eastAsia="Calibri"/>
        </w:rPr>
        <w:t>The foregoing analysis has been regrettably dense, but I can summarise my essential conclusions as follows:</w:t>
      </w:r>
    </w:p>
    <w:p w:rsidR="0040720B" w:rsidRDefault="0040720B" w:rsidP="00763FDB">
      <w:pPr>
        <w:pStyle w:val="ParaNoNumber"/>
        <w:numPr>
          <w:ilvl w:val="0"/>
          <w:numId w:val="21"/>
        </w:numPr>
        <w:rPr>
          <w:rFonts w:eastAsia="Calibri"/>
        </w:rPr>
      </w:pPr>
      <w:r>
        <w:rPr>
          <w:rFonts w:eastAsia="Calibri"/>
        </w:rPr>
        <w:t>It is open to an employee to bring a claim under section 47B (1A) against an individual co-worker for subjecting him or her to the detriment of dismissal, i.e. for being a party to the decision to dismiss; and to bring a claim of vicarious liability for that act against the employer under section 47B (1B).  All that section 47B (2) excludes is a claim against the employer in respect of its own act of dismissal.</w:t>
      </w:r>
    </w:p>
    <w:p w:rsidR="00772F8D" w:rsidRPr="00772F8D" w:rsidRDefault="0040720B" w:rsidP="00763FDB">
      <w:pPr>
        <w:pStyle w:val="ParaNoNumber"/>
        <w:numPr>
          <w:ilvl w:val="0"/>
          <w:numId w:val="21"/>
        </w:numPr>
        <w:rPr>
          <w:rFonts w:eastAsia="Calibri"/>
        </w:rPr>
      </w:pPr>
      <w:r>
        <w:rPr>
          <w:rFonts w:eastAsia="Calibri"/>
        </w:rPr>
        <w:t xml:space="preserve">As regards a claim based on a distinct </w:t>
      </w:r>
      <w:r w:rsidR="000801FD">
        <w:rPr>
          <w:rFonts w:eastAsia="Calibri"/>
        </w:rPr>
        <w:t xml:space="preserve">prior </w:t>
      </w:r>
      <w:r>
        <w:rPr>
          <w:rFonts w:eastAsia="Calibri"/>
        </w:rPr>
        <w:t xml:space="preserve">detrimental act done by a co-worker which </w:t>
      </w:r>
      <w:r w:rsidR="00772F8D">
        <w:rPr>
          <w:rFonts w:eastAsia="Calibri"/>
        </w:rPr>
        <w:t>results in the claimant’s dismissal, section 47B (2) does not preclude recovery in respect of losses flowing from the dismissal, though the usual rul</w:t>
      </w:r>
      <w:r w:rsidR="000801FD">
        <w:rPr>
          <w:rFonts w:eastAsia="Calibri"/>
        </w:rPr>
        <w:t>es about remoteness and the quan</w:t>
      </w:r>
      <w:r w:rsidR="002E5194">
        <w:rPr>
          <w:rFonts w:eastAsia="Calibri"/>
        </w:rPr>
        <w:t>t</w:t>
      </w:r>
      <w:r w:rsidR="00772F8D">
        <w:rPr>
          <w:rFonts w:eastAsia="Calibri"/>
        </w:rPr>
        <w:t>ification of such losses will apply.</w:t>
      </w:r>
    </w:p>
    <w:p w:rsidR="00FA1B80" w:rsidRPr="005E1518" w:rsidRDefault="005E1518" w:rsidP="00763FDB">
      <w:pPr>
        <w:pStyle w:val="ParaLevel1"/>
        <w:numPr>
          <w:ilvl w:val="0"/>
          <w:numId w:val="0"/>
        </w:numPr>
        <w:rPr>
          <w:rFonts w:eastAsia="Calibri"/>
          <w:b/>
          <w:u w:val="single"/>
        </w:rPr>
      </w:pPr>
      <w:r>
        <w:rPr>
          <w:rFonts w:eastAsia="Calibri"/>
          <w:b/>
          <w:u w:val="single"/>
        </w:rPr>
        <w:t>(B)</w:t>
      </w:r>
      <w:r>
        <w:rPr>
          <w:rFonts w:eastAsia="Calibri"/>
          <w:b/>
          <w:u w:val="single"/>
        </w:rPr>
        <w:tab/>
      </w:r>
      <w:r w:rsidR="002E5194">
        <w:rPr>
          <w:rFonts w:eastAsia="Calibri"/>
          <w:b/>
          <w:u w:val="single"/>
        </w:rPr>
        <w:t xml:space="preserve">  </w:t>
      </w:r>
      <w:r>
        <w:rPr>
          <w:rFonts w:eastAsia="Calibri"/>
          <w:b/>
          <w:u w:val="single"/>
        </w:rPr>
        <w:t>THE LIABILITY OF MR SAGE</w:t>
      </w:r>
    </w:p>
    <w:p w:rsidR="0013420D" w:rsidRDefault="008D2FE3" w:rsidP="00763FDB">
      <w:pPr>
        <w:pStyle w:val="ParaLevel1"/>
        <w:rPr>
          <w:rFonts w:eastAsia="Calibri"/>
        </w:rPr>
      </w:pPr>
      <w:r>
        <w:rPr>
          <w:rFonts w:eastAsia="Calibri"/>
        </w:rPr>
        <w:t xml:space="preserve">The </w:t>
      </w:r>
      <w:r w:rsidR="00601238">
        <w:rPr>
          <w:rFonts w:eastAsia="Calibri"/>
        </w:rPr>
        <w:t xml:space="preserve">ET’s </w:t>
      </w:r>
      <w:r w:rsidR="00B218E4">
        <w:rPr>
          <w:rFonts w:eastAsia="Calibri"/>
        </w:rPr>
        <w:t xml:space="preserve">findings </w:t>
      </w:r>
      <w:r w:rsidR="00555B3D" w:rsidRPr="00601238">
        <w:rPr>
          <w:rFonts w:eastAsia="Calibri"/>
        </w:rPr>
        <w:t>about how the decision to dismiss the Claimant was made</w:t>
      </w:r>
      <w:r w:rsidR="00A96CAC">
        <w:rPr>
          <w:rFonts w:eastAsia="Calibri"/>
        </w:rPr>
        <w:t xml:space="preserve"> a</w:t>
      </w:r>
      <w:r w:rsidR="00F150D7">
        <w:rPr>
          <w:rFonts w:eastAsia="Calibri"/>
        </w:rPr>
        <w:t>re not as clear as they c</w:t>
      </w:r>
      <w:r w:rsidR="00555B3D" w:rsidRPr="00601238">
        <w:rPr>
          <w:rFonts w:eastAsia="Calibri"/>
        </w:rPr>
        <w:t>ould have been</w:t>
      </w:r>
      <w:r w:rsidR="0013420D">
        <w:rPr>
          <w:rFonts w:eastAsia="Calibri"/>
        </w:rPr>
        <w:t>, but the</w:t>
      </w:r>
      <w:r w:rsidR="00555B3D" w:rsidRPr="00601238">
        <w:rPr>
          <w:rFonts w:eastAsia="Calibri"/>
        </w:rPr>
        <w:t xml:space="preserve"> relevant passages</w:t>
      </w:r>
      <w:r w:rsidR="00A96CAC">
        <w:rPr>
          <w:rFonts w:eastAsia="Calibri"/>
        </w:rPr>
        <w:t xml:space="preserve"> in the Reasons</w:t>
      </w:r>
      <w:r w:rsidR="0013420D">
        <w:rPr>
          <w:rFonts w:eastAsia="Calibri"/>
        </w:rPr>
        <w:t xml:space="preserve"> are</w:t>
      </w:r>
      <w:r w:rsidR="00555B3D" w:rsidRPr="00601238">
        <w:rPr>
          <w:rFonts w:eastAsia="Calibri"/>
        </w:rPr>
        <w:t xml:space="preserve"> as follows</w:t>
      </w:r>
      <w:r w:rsidR="00A96CAC">
        <w:rPr>
          <w:rFonts w:eastAsia="Calibri"/>
        </w:rPr>
        <w:t>.</w:t>
      </w:r>
    </w:p>
    <w:p w:rsidR="00281FED" w:rsidRDefault="009B4C0C" w:rsidP="00763FDB">
      <w:pPr>
        <w:pStyle w:val="ParaLevel1"/>
        <w:rPr>
          <w:rFonts w:eastAsia="Calibri"/>
        </w:rPr>
      </w:pPr>
      <w:r>
        <w:rPr>
          <w:rFonts w:eastAsia="Calibri"/>
        </w:rPr>
        <w:t>First, t</w:t>
      </w:r>
      <w:r w:rsidR="00D340B9" w:rsidRPr="0013420D">
        <w:rPr>
          <w:rFonts w:eastAsia="Calibri"/>
        </w:rPr>
        <w:t>he relevant part of the factual findings is at paras. 7</w:t>
      </w:r>
      <w:r w:rsidR="00F150D7">
        <w:rPr>
          <w:rFonts w:eastAsia="Calibri"/>
        </w:rPr>
        <w:t xml:space="preserve">9-81.  On 25 October </w:t>
      </w:r>
      <w:r w:rsidR="004505E8">
        <w:rPr>
          <w:rFonts w:eastAsia="Calibri"/>
        </w:rPr>
        <w:t xml:space="preserve">2014 </w:t>
      </w:r>
      <w:r w:rsidR="00F150D7">
        <w:rPr>
          <w:rFonts w:eastAsia="Calibri"/>
        </w:rPr>
        <w:t xml:space="preserve">the Claimant </w:t>
      </w:r>
      <w:r w:rsidR="00D340B9">
        <w:rPr>
          <w:rFonts w:eastAsia="Calibri"/>
        </w:rPr>
        <w:t xml:space="preserve">sent an </w:t>
      </w:r>
      <w:r w:rsidR="00281FED">
        <w:rPr>
          <w:rFonts w:eastAsia="Calibri"/>
        </w:rPr>
        <w:t xml:space="preserve">e-mail to Mr Lake </w:t>
      </w:r>
      <w:r w:rsidR="006F1496">
        <w:rPr>
          <w:rFonts w:eastAsia="Calibri"/>
        </w:rPr>
        <w:t xml:space="preserve">about certain assets in Niger. </w:t>
      </w:r>
      <w:r w:rsidR="004505E8">
        <w:rPr>
          <w:rFonts w:eastAsia="Calibri"/>
        </w:rPr>
        <w:t xml:space="preserve"> </w:t>
      </w:r>
      <w:r w:rsidR="00D340B9" w:rsidRPr="0013420D">
        <w:rPr>
          <w:rFonts w:eastAsia="Calibri"/>
        </w:rPr>
        <w:t xml:space="preserve">Mr Timis </w:t>
      </w:r>
      <w:r w:rsidR="006F1496">
        <w:rPr>
          <w:rFonts w:eastAsia="Calibri"/>
        </w:rPr>
        <w:t>strongly believed that the e-mail should not have been sent</w:t>
      </w:r>
      <w:r w:rsidR="00D340B9" w:rsidRPr="0013420D">
        <w:rPr>
          <w:rFonts w:eastAsia="Calibri"/>
        </w:rPr>
        <w:t>.</w:t>
      </w:r>
      <w:r w:rsidR="006F1496">
        <w:rPr>
          <w:rFonts w:eastAsia="Calibri"/>
        </w:rPr>
        <w:t xml:space="preserve"> </w:t>
      </w:r>
      <w:r w:rsidR="00D340B9" w:rsidRPr="0013420D">
        <w:rPr>
          <w:rFonts w:eastAsia="Calibri"/>
        </w:rPr>
        <w:t xml:space="preserve"> He wrote to the Claimant and Dr Lake, with a copy to Mr Sage, saying so.  </w:t>
      </w:r>
      <w:r w:rsidR="006F1496">
        <w:rPr>
          <w:rFonts w:eastAsia="Calibri"/>
        </w:rPr>
        <w:t>T</w:t>
      </w:r>
      <w:r w:rsidR="00D340B9" w:rsidRPr="0013420D">
        <w:rPr>
          <w:rFonts w:eastAsia="Calibri"/>
        </w:rPr>
        <w:t>wo days later</w:t>
      </w:r>
      <w:r w:rsidR="006F1496">
        <w:rPr>
          <w:rFonts w:eastAsia="Calibri"/>
        </w:rPr>
        <w:t xml:space="preserve"> Mr Sage e-mailed the Claimant</w:t>
      </w:r>
      <w:r w:rsidR="002A05E8">
        <w:rPr>
          <w:rFonts w:eastAsia="Calibri"/>
        </w:rPr>
        <w:t xml:space="preserve">.  The e-mail </w:t>
      </w:r>
      <w:r w:rsidR="00981010">
        <w:rPr>
          <w:rFonts w:eastAsia="Calibri"/>
        </w:rPr>
        <w:t xml:space="preserve">begins </w:t>
      </w:r>
      <w:r w:rsidR="00D340B9" w:rsidRPr="0013420D">
        <w:rPr>
          <w:rFonts w:eastAsia="Calibri"/>
        </w:rPr>
        <w:t xml:space="preserve">by saying that he and Mr Timis had been trying to contact </w:t>
      </w:r>
      <w:r w:rsidR="002E5194">
        <w:rPr>
          <w:rFonts w:eastAsia="Calibri"/>
        </w:rPr>
        <w:t>him</w:t>
      </w:r>
      <w:r w:rsidR="00D340B9" w:rsidRPr="0013420D">
        <w:rPr>
          <w:rFonts w:eastAsia="Calibri"/>
        </w:rPr>
        <w:t xml:space="preserve">.  </w:t>
      </w:r>
      <w:r w:rsidR="007B6C00">
        <w:rPr>
          <w:rFonts w:eastAsia="Calibri"/>
        </w:rPr>
        <w:t>It goes on</w:t>
      </w:r>
      <w:r w:rsidR="00281FED">
        <w:rPr>
          <w:rFonts w:eastAsia="Calibri"/>
        </w:rPr>
        <w:t>:</w:t>
      </w:r>
    </w:p>
    <w:p w:rsidR="00281FED" w:rsidRPr="00281FED" w:rsidRDefault="00281FED" w:rsidP="00763FDB">
      <w:pPr>
        <w:pStyle w:val="ParaLevel1"/>
        <w:numPr>
          <w:ilvl w:val="0"/>
          <w:numId w:val="0"/>
        </w:numPr>
        <w:ind w:left="1418" w:right="828"/>
        <w:rPr>
          <w:rFonts w:eastAsia="Calibri"/>
        </w:rPr>
      </w:pPr>
      <w:r>
        <w:rPr>
          <w:rFonts w:eastAsia="Calibri"/>
        </w:rPr>
        <w:t xml:space="preserve">“Your email </w:t>
      </w:r>
      <w:r w:rsidR="00067AA9">
        <w:rPr>
          <w:rFonts w:eastAsia="Calibri"/>
        </w:rPr>
        <w:t>was unwarranted and against the wishes of the Board</w:t>
      </w:r>
      <w:r w:rsidR="004505E8">
        <w:rPr>
          <w:rFonts w:eastAsia="Calibri"/>
        </w:rPr>
        <w:t>.</w:t>
      </w:r>
      <w:r>
        <w:rPr>
          <w:rFonts w:eastAsia="Calibri"/>
        </w:rPr>
        <w:t xml:space="preserve"> </w:t>
      </w:r>
      <w:r w:rsidR="004505E8">
        <w:rPr>
          <w:rFonts w:eastAsia="Calibri"/>
        </w:rPr>
        <w:t xml:space="preserve"> </w:t>
      </w:r>
      <w:r w:rsidRPr="00901447">
        <w:rPr>
          <w:lang w:val="en-US" w:eastAsia="en-GB"/>
        </w:rPr>
        <w:t xml:space="preserve">Your conduct </w:t>
      </w:r>
      <w:r w:rsidR="00901447">
        <w:rPr>
          <w:lang w:val="en-US" w:eastAsia="en-GB"/>
        </w:rPr>
        <w:t>has undermined the sale of the N</w:t>
      </w:r>
      <w:r w:rsidRPr="00901447">
        <w:rPr>
          <w:lang w:val="en-US" w:eastAsia="en-GB"/>
        </w:rPr>
        <w:t xml:space="preserve">iger assets and you have caused undue distress to several </w:t>
      </w:r>
      <w:r w:rsidR="00901447">
        <w:rPr>
          <w:lang w:val="en-US" w:eastAsia="en-GB"/>
        </w:rPr>
        <w:t>staff within the G</w:t>
      </w:r>
      <w:r w:rsidRPr="00901447">
        <w:rPr>
          <w:lang w:val="en-US" w:eastAsia="en-GB"/>
        </w:rPr>
        <w:t>roup. As such you have left us no option but to terminate your employment to be effective immediately</w:t>
      </w:r>
      <w:r w:rsidR="00901447">
        <w:rPr>
          <w:lang w:val="en-US" w:eastAsia="en-GB"/>
        </w:rPr>
        <w:t>.”</w:t>
      </w:r>
    </w:p>
    <w:p w:rsidR="00D340B9" w:rsidRPr="0013420D" w:rsidRDefault="006E0155" w:rsidP="00763FDB">
      <w:pPr>
        <w:pStyle w:val="ParaLevel1"/>
        <w:numPr>
          <w:ilvl w:val="0"/>
          <w:numId w:val="0"/>
        </w:numPr>
        <w:ind w:left="720"/>
        <w:rPr>
          <w:rFonts w:eastAsia="Calibri"/>
        </w:rPr>
      </w:pPr>
      <w:r>
        <w:rPr>
          <w:rFonts w:eastAsia="Calibri"/>
        </w:rPr>
        <w:t xml:space="preserve">After quoting the e-mail the Tribunal </w:t>
      </w:r>
      <w:r w:rsidR="00424DBB">
        <w:rPr>
          <w:rFonts w:eastAsia="Calibri"/>
        </w:rPr>
        <w:t>at para. 81 refers</w:t>
      </w:r>
      <w:r>
        <w:rPr>
          <w:rFonts w:eastAsia="Calibri"/>
        </w:rPr>
        <w:t xml:space="preserve"> </w:t>
      </w:r>
      <w:r w:rsidR="00424DBB">
        <w:rPr>
          <w:rFonts w:eastAsia="Calibri"/>
        </w:rPr>
        <w:t xml:space="preserve">to Mr Sage’s </w:t>
      </w:r>
      <w:r w:rsidR="002A05E8">
        <w:rPr>
          <w:rFonts w:eastAsia="Calibri"/>
        </w:rPr>
        <w:t xml:space="preserve">evidence </w:t>
      </w:r>
      <w:r>
        <w:rPr>
          <w:rFonts w:eastAsia="Calibri"/>
        </w:rPr>
        <w:t>in cross-examination</w:t>
      </w:r>
      <w:r w:rsidR="00060E1B">
        <w:rPr>
          <w:rFonts w:eastAsia="Calibri"/>
        </w:rPr>
        <w:t xml:space="preserve"> </w:t>
      </w:r>
      <w:r w:rsidR="0009712D">
        <w:rPr>
          <w:rFonts w:eastAsia="Calibri"/>
        </w:rPr>
        <w:t xml:space="preserve">about the reason </w:t>
      </w:r>
      <w:r w:rsidR="009C194C">
        <w:rPr>
          <w:rFonts w:eastAsia="Calibri"/>
        </w:rPr>
        <w:t xml:space="preserve">for the Claimant’s dismissal.  I need not attempt to summarise </w:t>
      </w:r>
      <w:r w:rsidR="004505E8">
        <w:rPr>
          <w:rFonts w:eastAsia="Calibri"/>
        </w:rPr>
        <w:t xml:space="preserve">it </w:t>
      </w:r>
      <w:r w:rsidR="009C194C">
        <w:rPr>
          <w:rFonts w:eastAsia="Calibri"/>
        </w:rPr>
        <w:t xml:space="preserve">save to say that he advanced an explanation which </w:t>
      </w:r>
      <w:r w:rsidR="003B7565">
        <w:rPr>
          <w:rFonts w:eastAsia="Calibri"/>
        </w:rPr>
        <w:t>the Tribunal did not accept</w:t>
      </w:r>
      <w:r>
        <w:rPr>
          <w:rFonts w:eastAsia="Calibri"/>
        </w:rPr>
        <w:t xml:space="preserve">.  </w:t>
      </w:r>
      <w:r w:rsidR="003B7565">
        <w:rPr>
          <w:rFonts w:eastAsia="Calibri"/>
        </w:rPr>
        <w:t>As regards the actual decision-making process,</w:t>
      </w:r>
      <w:r w:rsidR="00D340B9" w:rsidRPr="0013420D">
        <w:rPr>
          <w:rFonts w:eastAsia="Calibri"/>
        </w:rPr>
        <w:t xml:space="preserve"> </w:t>
      </w:r>
      <w:r w:rsidR="003B7565">
        <w:rPr>
          <w:rFonts w:eastAsia="Calibri"/>
        </w:rPr>
        <w:t>it</w:t>
      </w:r>
      <w:r w:rsidR="00D340B9" w:rsidRPr="0013420D">
        <w:rPr>
          <w:rFonts w:eastAsia="Calibri"/>
        </w:rPr>
        <w:t xml:space="preserve"> says:</w:t>
      </w:r>
    </w:p>
    <w:p w:rsidR="00D340B9" w:rsidRPr="00221838" w:rsidRDefault="00D340B9" w:rsidP="00763FDB">
      <w:pPr>
        <w:ind w:left="1560" w:right="793"/>
        <w:jc w:val="both"/>
        <w:rPr>
          <w:color w:val="222222"/>
          <w:shd w:val="clear" w:color="auto" w:fill="FFFFFF"/>
        </w:rPr>
      </w:pPr>
      <w:r w:rsidRPr="00C03893">
        <w:rPr>
          <w:color w:val="222222"/>
          <w:shd w:val="clear" w:color="auto" w:fill="FFFFFF"/>
        </w:rPr>
        <w:t>“In his witness statement Mr Sage said that Mr Timis had telephoned him and stated that the situation with Mr Os</w:t>
      </w:r>
      <w:r>
        <w:rPr>
          <w:color w:val="222222"/>
          <w:shd w:val="clear" w:color="auto" w:fill="FFFFFF"/>
        </w:rPr>
        <w:t>i</w:t>
      </w:r>
      <w:r w:rsidRPr="00C03893">
        <w:rPr>
          <w:color w:val="222222"/>
          <w:shd w:val="clear" w:color="auto" w:fill="FFFFFF"/>
        </w:rPr>
        <w:t xml:space="preserve">pov was untenable and that he felt his employment should be terminated. Mr Sage’s evidence was that, after </w:t>
      </w:r>
      <w:r>
        <w:rPr>
          <w:color w:val="222222"/>
          <w:shd w:val="clear" w:color="auto" w:fill="FFFFFF"/>
        </w:rPr>
        <w:t xml:space="preserve">[the] </w:t>
      </w:r>
      <w:r w:rsidRPr="00C03893">
        <w:rPr>
          <w:color w:val="222222"/>
          <w:shd w:val="clear" w:color="auto" w:fill="FFFFFF"/>
        </w:rPr>
        <w:t xml:space="preserve">problems in </w:t>
      </w:r>
      <w:r>
        <w:rPr>
          <w:color w:val="222222"/>
          <w:shd w:val="clear" w:color="auto" w:fill="FFFFFF"/>
        </w:rPr>
        <w:t>the preceding months, he agreed.”</w:t>
      </w:r>
      <w:r>
        <w:rPr>
          <w:rFonts w:eastAsia="Calibri"/>
        </w:rPr>
        <w:t xml:space="preserve">  </w:t>
      </w:r>
    </w:p>
    <w:p w:rsidR="00D340B9" w:rsidRDefault="00D340B9" w:rsidP="00763FDB">
      <w:pPr>
        <w:pStyle w:val="ParaLevel1"/>
        <w:numPr>
          <w:ilvl w:val="0"/>
          <w:numId w:val="0"/>
        </w:numPr>
        <w:ind w:left="720"/>
        <w:rPr>
          <w:color w:val="222222"/>
          <w:shd w:val="clear" w:color="auto" w:fill="FFFFFF"/>
        </w:rPr>
      </w:pPr>
      <w:r>
        <w:rPr>
          <w:rFonts w:eastAsia="Calibri"/>
        </w:rPr>
        <w:t xml:space="preserve">Although the Tribunal does not say so in terms, it is reasonably clear that it accepted that evidence. Mr Timis’s evidence was </w:t>
      </w:r>
      <w:r>
        <w:rPr>
          <w:color w:val="222222"/>
          <w:shd w:val="clear" w:color="auto" w:fill="FFFFFF"/>
        </w:rPr>
        <w:t>“</w:t>
      </w:r>
      <w:r w:rsidRPr="00C03893">
        <w:rPr>
          <w:color w:val="222222"/>
          <w:shd w:val="clear" w:color="auto" w:fill="FFFFFF"/>
        </w:rPr>
        <w:t>that he requested the dismissal, but did not himself dismiss Mr Osipov</w:t>
      </w:r>
      <w:r>
        <w:rPr>
          <w:color w:val="222222"/>
          <w:shd w:val="clear" w:color="auto" w:fill="FFFFFF"/>
        </w:rPr>
        <w:t xml:space="preserve">”.  That is not inconsistent with Mr Sage’s account, but even if it were the Tribunal made it clear that it did not regard Mr Timis as a reliable witness. </w:t>
      </w:r>
    </w:p>
    <w:p w:rsidR="00D340B9" w:rsidRDefault="009B4C0C" w:rsidP="00763FDB">
      <w:pPr>
        <w:pStyle w:val="ParaLevel1"/>
        <w:rPr>
          <w:rFonts w:eastAsia="Calibri"/>
        </w:rPr>
      </w:pPr>
      <w:r>
        <w:rPr>
          <w:rFonts w:eastAsia="Calibri"/>
        </w:rPr>
        <w:t>Secondly, at paras. 85-98 the Tribunal considered whether each of the respondents was (in the rather awkward statutory language) “a worker of [IPL]”.  At para. 96 it itemised a number of matters which supported its conclusion as regards Mr Timis.  This included that “it was Mr Timis who took the final decision to dismiss Mr Osipov”.</w:t>
      </w:r>
    </w:p>
    <w:p w:rsidR="00555B3D" w:rsidRPr="009B4C0C" w:rsidRDefault="00495503" w:rsidP="00763FDB">
      <w:pPr>
        <w:pStyle w:val="ParaLevel1"/>
        <w:rPr>
          <w:rFonts w:eastAsia="Calibri"/>
        </w:rPr>
      </w:pPr>
      <w:r>
        <w:rPr>
          <w:rFonts w:eastAsia="Calibri"/>
        </w:rPr>
        <w:t>Thirdly, a</w:t>
      </w:r>
      <w:r w:rsidR="00555B3D" w:rsidRPr="009B4C0C">
        <w:rPr>
          <w:rFonts w:eastAsia="Calibri"/>
        </w:rPr>
        <w:t xml:space="preserve">t para. 132 the Tribunal considered the Claimant’s case as regards responsibility </w:t>
      </w:r>
      <w:r w:rsidR="004505E8">
        <w:rPr>
          <w:rFonts w:eastAsia="Calibri"/>
        </w:rPr>
        <w:t>for “detriment (m)” (see para. 35</w:t>
      </w:r>
      <w:r w:rsidR="00555B3D" w:rsidRPr="009B4C0C">
        <w:rPr>
          <w:rFonts w:eastAsia="Calibri"/>
        </w:rPr>
        <w:t xml:space="preserve"> above).</w:t>
      </w:r>
      <w:r>
        <w:rPr>
          <w:rFonts w:eastAsia="Calibri"/>
        </w:rPr>
        <w:t xml:space="preserve">  It said:</w:t>
      </w:r>
      <w:r w:rsidR="00555B3D" w:rsidRPr="009B4C0C">
        <w:rPr>
          <w:rFonts w:eastAsia="Calibri"/>
        </w:rPr>
        <w:t xml:space="preserve">  </w:t>
      </w:r>
    </w:p>
    <w:p w:rsidR="00555B3D" w:rsidRPr="001D2219" w:rsidRDefault="00555B3D" w:rsidP="00763FDB">
      <w:pPr>
        <w:pStyle w:val="ParaLevel1"/>
        <w:numPr>
          <w:ilvl w:val="0"/>
          <w:numId w:val="0"/>
        </w:numPr>
        <w:ind w:left="1418" w:right="793"/>
        <w:rPr>
          <w:rFonts w:eastAsia="Calibri"/>
        </w:rPr>
      </w:pPr>
      <w:r w:rsidRPr="001D2219">
        <w:rPr>
          <w:lang w:val="en-US" w:eastAsia="en-GB"/>
        </w:rPr>
        <w:t xml:space="preserve">“This can only refer to the instruction to dismiss and not the decision to dismiss itself. Dr Lake and Mr Matveev were not involved in the decision to dismiss. The decision to dismiss was that of Mr Timis who instructed Mr </w:t>
      </w:r>
      <w:r>
        <w:rPr>
          <w:lang w:val="en-US" w:eastAsia="en-GB"/>
        </w:rPr>
        <w:t>S</w:t>
      </w:r>
      <w:r w:rsidRPr="001D2219">
        <w:rPr>
          <w:lang w:val="en-US" w:eastAsia="en-GB"/>
        </w:rPr>
        <w:t>age to dismiss Mr Osipov. There has been no clear explanation by Mr Timis of why he decided to dismiss Mr Osipov and the tribunal draws an inference that the reason for the dismissal of Mr Osipov and the instructions given to effect that were because of the protected disclosures.”</w:t>
      </w:r>
    </w:p>
    <w:p w:rsidR="00E70CDC" w:rsidRDefault="00985725" w:rsidP="00763FDB">
      <w:pPr>
        <w:pStyle w:val="ParaLevel1"/>
        <w:rPr>
          <w:rFonts w:eastAsia="Calibri"/>
        </w:rPr>
      </w:pPr>
      <w:r>
        <w:rPr>
          <w:rFonts w:eastAsia="Calibri"/>
        </w:rPr>
        <w:t xml:space="preserve">Mr Stilitz made the point that in so far as </w:t>
      </w:r>
      <w:r w:rsidR="00F51EF5">
        <w:rPr>
          <w:rFonts w:eastAsia="Calibri"/>
        </w:rPr>
        <w:t>reliance was placed</w:t>
      </w:r>
      <w:r>
        <w:rPr>
          <w:rFonts w:eastAsia="Calibri"/>
        </w:rPr>
        <w:t xml:space="preserve"> on the pleaded detriment</w:t>
      </w:r>
      <w:r w:rsidR="008C5C0F">
        <w:rPr>
          <w:rFonts w:eastAsia="Calibri"/>
        </w:rPr>
        <w:t>, i.e. detriment (m)</w:t>
      </w:r>
      <w:r w:rsidR="00F51EF5">
        <w:rPr>
          <w:rFonts w:eastAsia="Calibri"/>
        </w:rPr>
        <w:t>,</w:t>
      </w:r>
      <w:r w:rsidR="008C5C0F">
        <w:rPr>
          <w:rFonts w:eastAsia="Calibri"/>
        </w:rPr>
        <w:t xml:space="preserve"> it was hard to see how Mr Sage could be liable for </w:t>
      </w:r>
      <w:r w:rsidR="007F7235">
        <w:rPr>
          <w:rFonts w:eastAsia="Calibri"/>
        </w:rPr>
        <w:t>“</w:t>
      </w:r>
      <w:r w:rsidR="008C5C0F">
        <w:rPr>
          <w:rFonts w:eastAsia="Calibri"/>
        </w:rPr>
        <w:t>instructing</w:t>
      </w:r>
      <w:r w:rsidR="004505E8">
        <w:rPr>
          <w:rFonts w:eastAsia="Calibri"/>
        </w:rPr>
        <w:t>” (or “recommending”) himself</w:t>
      </w:r>
      <w:r w:rsidR="007F7235">
        <w:rPr>
          <w:rFonts w:eastAsia="Calibri"/>
        </w:rPr>
        <w:t xml:space="preserve"> </w:t>
      </w:r>
      <w:r w:rsidR="008C5C0F">
        <w:rPr>
          <w:rFonts w:eastAsia="Calibri"/>
        </w:rPr>
        <w:t xml:space="preserve">to dismiss </w:t>
      </w:r>
      <w:r w:rsidR="00F51EF5">
        <w:rPr>
          <w:rFonts w:eastAsia="Calibri"/>
        </w:rPr>
        <w:t>the Claimant</w:t>
      </w:r>
      <w:r w:rsidR="007F7235">
        <w:rPr>
          <w:rFonts w:eastAsia="Calibri"/>
        </w:rPr>
        <w:t>: instructions can only be given to someone else</w:t>
      </w:r>
      <w:r w:rsidR="00F51EF5">
        <w:rPr>
          <w:rFonts w:eastAsia="Calibri"/>
        </w:rPr>
        <w:t xml:space="preserve">.  </w:t>
      </w:r>
      <w:r w:rsidR="00FB5CD4">
        <w:rPr>
          <w:rFonts w:eastAsia="Calibri"/>
        </w:rPr>
        <w:t>That seems right</w:t>
      </w:r>
      <w:r w:rsidR="00F51EF5">
        <w:rPr>
          <w:rFonts w:eastAsia="Calibri"/>
        </w:rPr>
        <w:t xml:space="preserve">, but </w:t>
      </w:r>
      <w:r w:rsidR="0073648C">
        <w:rPr>
          <w:rFonts w:eastAsia="Calibri"/>
        </w:rPr>
        <w:t xml:space="preserve">for the reasons already given the argument has moved on: the true </w:t>
      </w:r>
      <w:r w:rsidR="00942FB5">
        <w:rPr>
          <w:rFonts w:eastAsia="Calibri"/>
        </w:rPr>
        <w:t>act complained of is the dismissal itself.  The real issue is whether</w:t>
      </w:r>
      <w:r w:rsidR="00712B58">
        <w:rPr>
          <w:rFonts w:eastAsia="Calibri"/>
        </w:rPr>
        <w:t>, on the Tribunal’s findings, Mr Sage was a party to that act as well as Mr Timis</w:t>
      </w:r>
      <w:r w:rsidR="00F3735F">
        <w:rPr>
          <w:rFonts w:eastAsia="Calibri"/>
        </w:rPr>
        <w:t>.</w:t>
      </w:r>
    </w:p>
    <w:p w:rsidR="00F3735F" w:rsidRDefault="00F3735F" w:rsidP="00763FDB">
      <w:pPr>
        <w:pStyle w:val="ParaLevel1"/>
        <w:rPr>
          <w:rFonts w:eastAsia="Calibri"/>
        </w:rPr>
      </w:pPr>
      <w:r>
        <w:rPr>
          <w:rFonts w:eastAsia="Calibri"/>
        </w:rPr>
        <w:t xml:space="preserve">As to that, Mr </w:t>
      </w:r>
      <w:r w:rsidR="00C6567F">
        <w:rPr>
          <w:rFonts w:eastAsia="Calibri"/>
        </w:rPr>
        <w:t>Forshaw</w:t>
      </w:r>
      <w:r>
        <w:rPr>
          <w:rFonts w:eastAsia="Calibri"/>
        </w:rPr>
        <w:t xml:space="preserve"> </w:t>
      </w:r>
      <w:r w:rsidR="00B3140F">
        <w:rPr>
          <w:rFonts w:eastAsia="Calibri"/>
        </w:rPr>
        <w:t>submitte</w:t>
      </w:r>
      <w:r>
        <w:rPr>
          <w:rFonts w:eastAsia="Calibri"/>
        </w:rPr>
        <w:t xml:space="preserve">d in the EAT that </w:t>
      </w:r>
      <w:r w:rsidR="00185785">
        <w:rPr>
          <w:rFonts w:eastAsia="Calibri"/>
        </w:rPr>
        <w:t xml:space="preserve">on those findings it was not open to the ET to find that </w:t>
      </w:r>
      <w:r w:rsidR="001618C5">
        <w:rPr>
          <w:rFonts w:eastAsia="Calibri"/>
        </w:rPr>
        <w:t xml:space="preserve">Mr Sage had any responsibility for the Claimant’s dismissal.  Simler P rejected that </w:t>
      </w:r>
      <w:r w:rsidR="00B3140F">
        <w:rPr>
          <w:rFonts w:eastAsia="Calibri"/>
        </w:rPr>
        <w:t xml:space="preserve">submission.  At para. 141 of her judgment </w:t>
      </w:r>
      <w:r w:rsidR="00B443CF">
        <w:rPr>
          <w:rFonts w:eastAsia="Calibri"/>
        </w:rPr>
        <w:t>she said:</w:t>
      </w:r>
    </w:p>
    <w:p w:rsidR="00B443CF" w:rsidRPr="00B443CF" w:rsidRDefault="00B443CF" w:rsidP="00763FDB">
      <w:pPr>
        <w:pStyle w:val="ParaLevel1"/>
        <w:numPr>
          <w:ilvl w:val="0"/>
          <w:numId w:val="0"/>
        </w:numPr>
        <w:ind w:left="1418" w:right="828"/>
        <w:rPr>
          <w:rFonts w:ascii="Times" w:hAnsi="Times"/>
          <w:sz w:val="20"/>
        </w:rPr>
      </w:pPr>
      <w:r>
        <w:t>“</w:t>
      </w:r>
      <w:r w:rsidRPr="00B443CF">
        <w:t>Mr Sage could have said that he was not exercising any independent judgment of his own (if this was the case) but was simply acting on instructions from Mr Timis.  He did not do so, but instead gave his own false reasons for his actions.  It seems to me in these circumstances that the Tribunal was entitled to reach the conclusion it did on both detriments.  The Employment Tribunal found (at [132]) that Mr Sage implemented Mr Timis’ instructions, having already found (at [81]) that he agreed with the decision to dismiss.  So, although Mr Timis was the originator of both decisions, Mr Sage was not simply a messenger acting on instructions.  He put forward false reasons for doing what he did.  These were rejected.  The Tribunal found instead that he acted as he did because of the protected disclosures.  I can detect no error of law in these conclusions.</w:t>
      </w:r>
      <w:r>
        <w:t>”</w:t>
      </w:r>
    </w:p>
    <w:p w:rsidR="0040720B" w:rsidRDefault="0040720B" w:rsidP="00763FDB">
      <w:pPr>
        <w:pStyle w:val="ParaLevel1"/>
        <w:rPr>
          <w:rFonts w:eastAsia="Calibri"/>
        </w:rPr>
      </w:pPr>
      <w:r>
        <w:rPr>
          <w:rFonts w:eastAsia="Calibri"/>
        </w:rPr>
        <w:t>Mr Stilitz developed before us essential</w:t>
      </w:r>
      <w:r w:rsidR="000801FD">
        <w:rPr>
          <w:rFonts w:eastAsia="Calibri"/>
        </w:rPr>
        <w:t xml:space="preserve">ly the same submissions as Mr </w:t>
      </w:r>
      <w:r w:rsidR="00C6567F">
        <w:rPr>
          <w:rFonts w:eastAsia="Calibri"/>
        </w:rPr>
        <w:t>Forshaw</w:t>
      </w:r>
      <w:r>
        <w:rPr>
          <w:rFonts w:eastAsia="Calibri"/>
        </w:rPr>
        <w:t xml:space="preserve"> had advanced in the EAT.  He relied in particular on the clear statements of the ET at paras. 96 and 132 that it was Mr Timis who took the decision to dismiss and instruct</w:t>
      </w:r>
      <w:r w:rsidR="000801FD">
        <w:rPr>
          <w:rFonts w:eastAsia="Calibri"/>
        </w:rPr>
        <w:t>ed</w:t>
      </w:r>
      <w:r>
        <w:rPr>
          <w:rFonts w:eastAsia="Calibri"/>
        </w:rPr>
        <w:t xml:space="preserve"> Mr Sage to effect it (see paras. 94 and 95) above, which he said showed that Mr Sage was no more than a “mouthpiece”.</w:t>
      </w:r>
    </w:p>
    <w:p w:rsidR="0040720B" w:rsidRDefault="0040720B" w:rsidP="00763FDB">
      <w:pPr>
        <w:pStyle w:val="ParaLevel1"/>
        <w:rPr>
          <w:rFonts w:eastAsia="Calibri"/>
        </w:rPr>
      </w:pPr>
      <w:r>
        <w:rPr>
          <w:rFonts w:eastAsia="Calibri"/>
        </w:rPr>
        <w:t xml:space="preserve">I would reject that submission for the same reason as Simler P.  It is not uncommon for more than one person to be party to a decision to dismiss.  Indeed in this case Mr Carr pointed out that it had been the case of IPL and the Appellants in the ET that the dismissal of the Claimant had been a board decision (both Mr Timis and Mr Sage being directors of IPL).  In such a case one individual may take the leading role, but that does not mean that the other participants are not also responsible for the act in question.  In this case Mr Timis, the largest shareholder, was evidently, on the tribunal’s findings, the prime mover in the dismissal decision; </w:t>
      </w:r>
      <w:r w:rsidRPr="00663062">
        <w:rPr>
          <w:rFonts w:eastAsia="Calibri"/>
        </w:rPr>
        <w:t>but</w:t>
      </w:r>
      <w:r>
        <w:rPr>
          <w:rFonts w:eastAsia="Calibri"/>
        </w:rPr>
        <w:t>, as Simler P points out, the Tribunal found at para. 81 that he discussed it with Mr Sage, his Chairman, who expressly agreed and who did not in his evidence disavow any responsibility.  On that basis the ET was entitled to make a finding that he was a party to the decision</w:t>
      </w:r>
      <w:r w:rsidR="00663062">
        <w:rPr>
          <w:rFonts w:eastAsia="Calibri"/>
        </w:rPr>
        <w:t xml:space="preserve"> and shared Mr Timis’s motivation;</w:t>
      </w:r>
      <w:r>
        <w:rPr>
          <w:rFonts w:eastAsia="Calibri"/>
        </w:rPr>
        <w:t xml:space="preserve"> and that finding is not inconsistent with the findings</w:t>
      </w:r>
      <w:r w:rsidR="00663062">
        <w:rPr>
          <w:rFonts w:eastAsia="Calibri"/>
        </w:rPr>
        <w:t xml:space="preserve"> which</w:t>
      </w:r>
      <w:r>
        <w:rPr>
          <w:rFonts w:eastAsia="Calibri"/>
        </w:rPr>
        <w:t xml:space="preserve"> it made about the principal role of Mr Timis.</w:t>
      </w:r>
    </w:p>
    <w:p w:rsidR="0040720B" w:rsidRDefault="0040720B" w:rsidP="00763FDB">
      <w:pPr>
        <w:pStyle w:val="ParaHeading"/>
        <w:rPr>
          <w:rFonts w:eastAsia="Calibri"/>
          <w:b/>
          <w:u w:val="single"/>
        </w:rPr>
      </w:pPr>
      <w:r>
        <w:rPr>
          <w:rFonts w:eastAsia="Calibri"/>
          <w:b/>
          <w:u w:val="single"/>
        </w:rPr>
        <w:t>DISPOSAL</w:t>
      </w:r>
    </w:p>
    <w:p w:rsidR="0040720B" w:rsidRDefault="0040720B" w:rsidP="00763FDB">
      <w:pPr>
        <w:pStyle w:val="ParaLevel1"/>
        <w:rPr>
          <w:rFonts w:eastAsia="Calibri"/>
        </w:rPr>
      </w:pPr>
      <w:r>
        <w:rPr>
          <w:rFonts w:eastAsia="Calibri"/>
        </w:rPr>
        <w:t xml:space="preserve">For those reasons I would dismiss this appeal.  </w:t>
      </w:r>
    </w:p>
    <w:p w:rsidR="00FB5041" w:rsidRDefault="00FB5041" w:rsidP="00763FDB">
      <w:pPr>
        <w:pStyle w:val="ParaHeading"/>
        <w:rPr>
          <w:rFonts w:eastAsia="Calibri"/>
          <w:b/>
        </w:rPr>
      </w:pPr>
      <w:r>
        <w:rPr>
          <w:rFonts w:eastAsia="Calibri"/>
          <w:b/>
        </w:rPr>
        <w:t>Lady Justice Rafferty:</w:t>
      </w:r>
    </w:p>
    <w:p w:rsidR="00FB5041" w:rsidRDefault="00FB5041" w:rsidP="00763FDB">
      <w:pPr>
        <w:pStyle w:val="ParaLevel1"/>
        <w:rPr>
          <w:rFonts w:eastAsia="Calibri"/>
        </w:rPr>
      </w:pPr>
      <w:r>
        <w:rPr>
          <w:rFonts w:eastAsia="Calibri"/>
        </w:rPr>
        <w:t>I agree.</w:t>
      </w:r>
    </w:p>
    <w:p w:rsidR="00FB5041" w:rsidRDefault="00FB5041" w:rsidP="00763FDB">
      <w:pPr>
        <w:pStyle w:val="ParaHeading"/>
        <w:rPr>
          <w:rFonts w:eastAsia="Calibri"/>
          <w:b/>
        </w:rPr>
      </w:pPr>
      <w:r>
        <w:rPr>
          <w:rFonts w:eastAsia="Calibri"/>
          <w:b/>
        </w:rPr>
        <w:t>Lord Justice Sales:</w:t>
      </w:r>
    </w:p>
    <w:p w:rsidR="00E70CDC" w:rsidRDefault="00FB5041" w:rsidP="0027088E">
      <w:pPr>
        <w:pStyle w:val="ParaLevel1"/>
        <w:rPr>
          <w:rFonts w:eastAsia="Calibri"/>
        </w:rPr>
      </w:pPr>
      <w:r w:rsidRPr="00763FDB">
        <w:rPr>
          <w:rFonts w:eastAsia="Calibri"/>
        </w:rPr>
        <w:t>I also agree.</w:t>
      </w:r>
    </w:p>
    <w:p w:rsidR="00AD45B6" w:rsidRPr="009256FE" w:rsidRDefault="00AD45B6" w:rsidP="00763FDB"/>
    <w:sectPr w:rsidR="00AD45B6" w:rsidRPr="009256FE" w:rsidSect="00763FDB">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DE3" w:rsidRDefault="00D60DE3">
      <w:r>
        <w:separator/>
      </w:r>
    </w:p>
  </w:endnote>
  <w:endnote w:type="continuationSeparator" w:id="0">
    <w:p w:rsidR="00D60DE3" w:rsidRDefault="00D6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Univers (W1)">
    <w:altName w:val="Arial"/>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DB" w:rsidRDefault="00763F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5F9" w:rsidRDefault="001145F9">
    <w:pPr>
      <w:pStyle w:val="Footer"/>
      <w:jc w:val="center"/>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DB" w:rsidRDefault="00763F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5F9" w:rsidRPr="00763FDB" w:rsidRDefault="001145F9" w:rsidP="00763F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DE3" w:rsidRDefault="00D60DE3">
      <w:r>
        <w:separator/>
      </w:r>
    </w:p>
  </w:footnote>
  <w:footnote w:type="continuationSeparator" w:id="0">
    <w:p w:rsidR="00D60DE3" w:rsidRDefault="00D60DE3">
      <w:r>
        <w:continuationSeparator/>
      </w:r>
    </w:p>
  </w:footnote>
  <w:footnote w:id="1">
    <w:p w:rsidR="001145F9" w:rsidRDefault="001145F9" w:rsidP="00C57705">
      <w:pPr>
        <w:pStyle w:val="FootnoteText"/>
        <w:ind w:left="709" w:hanging="709"/>
        <w:jc w:val="both"/>
        <w:rPr>
          <w:lang w:val="en-US"/>
        </w:rPr>
      </w:pPr>
      <w:r>
        <w:rPr>
          <w:rStyle w:val="FootnoteReference"/>
        </w:rPr>
        <w:footnoteRef/>
      </w:r>
      <w:r>
        <w:t xml:space="preserve"> </w:t>
      </w:r>
      <w:r>
        <w:rPr>
          <w:lang w:val="en-US"/>
        </w:rPr>
        <w:tab/>
      </w:r>
      <w:r>
        <w:rPr>
          <w:sz w:val="22"/>
          <w:szCs w:val="22"/>
          <w:lang w:val="en-US"/>
        </w:rPr>
        <w:t>I use the term “employed” and its cognates to cover not only employment in the traditional sense but also the relationship between a “worker” within the meaning of the relevant provisions and the person to whom he or she provides their services.  I will refer to individuals who may be liable on this basis as “co-workers”, but I do so with some reluctance, not only because of the ugliness of the term but also because it tends to suggest a colleague of the same status whereas often the relevant “co-worker” will be the claimant’s manager or someone more senior.</w:t>
      </w:r>
    </w:p>
    <w:p w:rsidR="001145F9" w:rsidRPr="00B10F32" w:rsidRDefault="001145F9" w:rsidP="00C57705">
      <w:pPr>
        <w:pStyle w:val="FootnoteText"/>
        <w:rPr>
          <w:lang w:val="en-US"/>
        </w:rPr>
      </w:pPr>
    </w:p>
  </w:footnote>
  <w:footnote w:id="2">
    <w:p w:rsidR="001145F9" w:rsidRDefault="001145F9" w:rsidP="00E10D6A">
      <w:pPr>
        <w:pStyle w:val="FootnoteText"/>
        <w:ind w:left="709" w:hanging="709"/>
        <w:jc w:val="both"/>
        <w:rPr>
          <w:sz w:val="22"/>
          <w:szCs w:val="22"/>
          <w:lang w:val="en-US"/>
        </w:rPr>
      </w:pPr>
      <w:r>
        <w:rPr>
          <w:rStyle w:val="FootnoteReference"/>
        </w:rPr>
        <w:footnoteRef/>
      </w:r>
      <w:r>
        <w:t xml:space="preserve"> </w:t>
      </w:r>
      <w:r>
        <w:rPr>
          <w:lang w:val="en-US"/>
        </w:rPr>
        <w:tab/>
      </w:r>
      <w:r w:rsidRPr="002C54FA">
        <w:rPr>
          <w:sz w:val="22"/>
          <w:szCs w:val="22"/>
          <w:lang w:val="en-US"/>
        </w:rPr>
        <w:t>Had they not been insured</w:t>
      </w:r>
      <w:r>
        <w:rPr>
          <w:sz w:val="22"/>
          <w:szCs w:val="22"/>
          <w:lang w:val="en-US"/>
        </w:rPr>
        <w:t>, and indeed had IPL not been insolvent,</w:t>
      </w:r>
      <w:r w:rsidRPr="002C54FA">
        <w:rPr>
          <w:sz w:val="22"/>
          <w:szCs w:val="22"/>
          <w:lang w:val="en-US"/>
        </w:rPr>
        <w:t xml:space="preserve"> an interesting question might have arisen as to the contribution position between the two Appellants</w:t>
      </w:r>
      <w:r>
        <w:rPr>
          <w:sz w:val="22"/>
          <w:szCs w:val="22"/>
          <w:lang w:val="en-US"/>
        </w:rPr>
        <w:t xml:space="preserve"> and </w:t>
      </w:r>
      <w:r w:rsidR="001B19BC">
        <w:rPr>
          <w:sz w:val="22"/>
          <w:szCs w:val="22"/>
          <w:lang w:val="en-US"/>
        </w:rPr>
        <w:t xml:space="preserve">between them and </w:t>
      </w:r>
      <w:r w:rsidRPr="002C54FA">
        <w:rPr>
          <w:sz w:val="22"/>
          <w:szCs w:val="22"/>
          <w:lang w:val="en-US"/>
        </w:rPr>
        <w:t xml:space="preserve">IPL, since it has been decided at EAT level that the Civil Liability (Contribution) Act 1978 does not apply to proceedings in the ET: see </w:t>
      </w:r>
      <w:r w:rsidRPr="002C54FA">
        <w:rPr>
          <w:i/>
          <w:color w:val="000000"/>
          <w:sz w:val="22"/>
          <w:szCs w:val="22"/>
        </w:rPr>
        <w:t>Sunderland City Council v Brennan</w:t>
      </w:r>
      <w:r w:rsidRPr="002C54FA">
        <w:rPr>
          <w:color w:val="000000"/>
          <w:sz w:val="22"/>
          <w:szCs w:val="22"/>
        </w:rPr>
        <w:t xml:space="preserve"> [2011] UKEAT</w:t>
      </w:r>
      <w:r>
        <w:rPr>
          <w:color w:val="000000"/>
          <w:sz w:val="22"/>
          <w:szCs w:val="22"/>
        </w:rPr>
        <w:t xml:space="preserve"> 0286</w:t>
      </w:r>
      <w:r w:rsidRPr="00C7083F">
        <w:rPr>
          <w:color w:val="000000"/>
          <w:sz w:val="22"/>
          <w:szCs w:val="22"/>
        </w:rPr>
        <w:t>/</w:t>
      </w:r>
      <w:r>
        <w:rPr>
          <w:color w:val="000000"/>
          <w:sz w:val="22"/>
          <w:szCs w:val="22"/>
        </w:rPr>
        <w:t xml:space="preserve">110, </w:t>
      </w:r>
      <w:r w:rsidRPr="00C7083F">
        <w:rPr>
          <w:sz w:val="22"/>
          <w:szCs w:val="22"/>
          <w:shd w:val="clear" w:color="auto" w:fill="FFFFFF"/>
        </w:rPr>
        <w:t>[2012] ICR 1183</w:t>
      </w:r>
      <w:r w:rsidRPr="00A22ADA">
        <w:rPr>
          <w:sz w:val="22"/>
          <w:szCs w:val="22"/>
          <w:lang w:val="en-US"/>
        </w:rPr>
        <w:t>.</w:t>
      </w:r>
    </w:p>
    <w:p w:rsidR="001145F9" w:rsidRPr="00E10D6A" w:rsidRDefault="001145F9" w:rsidP="00E10D6A">
      <w:pPr>
        <w:pStyle w:val="FootnoteText"/>
        <w:ind w:left="709" w:hanging="709"/>
        <w:jc w:val="both"/>
        <w:rPr>
          <w:lang w:val="en-US"/>
        </w:rPr>
      </w:pPr>
      <w:r>
        <w:rPr>
          <w:lang w:val="en-US"/>
        </w:rPr>
        <w:t xml:space="preserve"> </w:t>
      </w:r>
    </w:p>
  </w:footnote>
  <w:footnote w:id="3">
    <w:p w:rsidR="001145F9" w:rsidRPr="00C37B85" w:rsidRDefault="001145F9" w:rsidP="0028638C">
      <w:pPr>
        <w:pStyle w:val="FootnoteText"/>
        <w:ind w:left="709" w:hanging="709"/>
        <w:jc w:val="both"/>
        <w:rPr>
          <w:lang w:val="en-US"/>
        </w:rPr>
      </w:pPr>
      <w:r>
        <w:rPr>
          <w:rStyle w:val="FootnoteReference"/>
        </w:rPr>
        <w:footnoteRef/>
      </w:r>
      <w:r>
        <w:t xml:space="preserve"> </w:t>
      </w:r>
      <w:r>
        <w:rPr>
          <w:lang w:val="en-US"/>
        </w:rPr>
        <w:tab/>
      </w:r>
      <w:r>
        <w:rPr>
          <w:sz w:val="22"/>
          <w:szCs w:val="22"/>
          <w:lang w:val="en-US"/>
        </w:rPr>
        <w:t>Another possibility floated</w:t>
      </w:r>
      <w:r w:rsidRPr="00EA6FD2">
        <w:rPr>
          <w:sz w:val="22"/>
          <w:szCs w:val="22"/>
          <w:lang w:val="en-US"/>
        </w:rPr>
        <w:t xml:space="preserve"> in oral submissions </w:t>
      </w:r>
      <w:r>
        <w:rPr>
          <w:sz w:val="22"/>
          <w:szCs w:val="22"/>
          <w:lang w:val="en-US"/>
        </w:rPr>
        <w:t xml:space="preserve">is </w:t>
      </w:r>
      <w:r w:rsidRPr="00EA6FD2">
        <w:rPr>
          <w:sz w:val="22"/>
          <w:szCs w:val="22"/>
          <w:lang w:val="en-US"/>
        </w:rPr>
        <w:t xml:space="preserve">that </w:t>
      </w:r>
      <w:r>
        <w:rPr>
          <w:sz w:val="22"/>
          <w:szCs w:val="22"/>
          <w:lang w:val="en-US"/>
        </w:rPr>
        <w:t xml:space="preserve">it was intended to </w:t>
      </w:r>
      <w:r w:rsidRPr="00EA6FD2">
        <w:rPr>
          <w:sz w:val="22"/>
          <w:szCs w:val="22"/>
          <w:lang w:val="en-US"/>
        </w:rPr>
        <w:t xml:space="preserve">prevent a worker whose contract was terminated on whistleblower grounds from recovering compensation for injury to feelings, since such compensation would not be available to an employee who was dismissed </w:t>
      </w:r>
      <w:r>
        <w:rPr>
          <w:sz w:val="22"/>
          <w:szCs w:val="22"/>
          <w:lang w:val="en-US"/>
        </w:rPr>
        <w:t>on the same grounds: see para. 27</w:t>
      </w:r>
      <w:r w:rsidRPr="00EA6FD2">
        <w:rPr>
          <w:sz w:val="22"/>
          <w:szCs w:val="22"/>
          <w:lang w:val="en-US"/>
        </w:rPr>
        <w:t xml:space="preserve"> </w:t>
      </w:r>
      <w:r>
        <w:rPr>
          <w:sz w:val="22"/>
          <w:szCs w:val="22"/>
          <w:lang w:val="en-US"/>
        </w:rPr>
        <w:t>below</w:t>
      </w:r>
      <w:r w:rsidRPr="00EA6FD2">
        <w:rPr>
          <w:sz w:val="22"/>
          <w:szCs w:val="22"/>
          <w:lang w:val="en-US"/>
        </w:rPr>
        <w:t xml:space="preserve">.  </w:t>
      </w:r>
      <w:r>
        <w:rPr>
          <w:sz w:val="22"/>
          <w:szCs w:val="22"/>
          <w:lang w:val="en-US"/>
        </w:rPr>
        <w:t xml:space="preserve">That possibility cannot be excluded – and it may in any event be one effect of the sub-section, whatever the original intention – but I am myself doubtful whether the draftsman in 1998 was consciously considering the question of </w:t>
      </w:r>
      <w:r w:rsidRPr="00EA6FD2">
        <w:rPr>
          <w:sz w:val="22"/>
          <w:szCs w:val="22"/>
          <w:lang w:val="en-US"/>
        </w:rPr>
        <w:t>compensation for injury to feelings.</w:t>
      </w:r>
    </w:p>
  </w:footnote>
  <w:footnote w:id="4">
    <w:p w:rsidR="001145F9" w:rsidRDefault="001145F9" w:rsidP="00992B82">
      <w:pPr>
        <w:pStyle w:val="FootnoteText"/>
        <w:ind w:left="709" w:hanging="709"/>
        <w:jc w:val="both"/>
        <w:rPr>
          <w:sz w:val="22"/>
          <w:szCs w:val="22"/>
          <w:lang w:val="en-US"/>
        </w:rPr>
      </w:pPr>
      <w:r>
        <w:rPr>
          <w:rStyle w:val="FootnoteReference"/>
        </w:rPr>
        <w:footnoteRef/>
      </w:r>
      <w:r>
        <w:t xml:space="preserve"> </w:t>
      </w:r>
      <w:r>
        <w:rPr>
          <w:lang w:val="en-US"/>
        </w:rPr>
        <w:tab/>
      </w:r>
      <w:r w:rsidRPr="004B6E15">
        <w:rPr>
          <w:sz w:val="22"/>
          <w:szCs w:val="22"/>
          <w:lang w:val="en-US"/>
        </w:rPr>
        <w:t xml:space="preserve">However, the drafting of the provisions as a whole is not identical.  The rather complicated scheme of the 2010 Act is explained at para. 14 of my judgment in </w:t>
      </w:r>
      <w:r w:rsidRPr="004B6E15">
        <w:rPr>
          <w:i/>
          <w:sz w:val="22"/>
          <w:szCs w:val="22"/>
          <w:lang w:val="en-US"/>
        </w:rPr>
        <w:t>CLFIS v Reynolds</w:t>
      </w:r>
      <w:r w:rsidRPr="004B6E15">
        <w:rPr>
          <w:sz w:val="22"/>
          <w:szCs w:val="22"/>
          <w:lang w:val="en-US"/>
        </w:rPr>
        <w:t xml:space="preserve">, </w:t>
      </w:r>
      <w:r w:rsidR="00BF5120" w:rsidRPr="004B6E15">
        <w:rPr>
          <w:sz w:val="22"/>
          <w:szCs w:val="22"/>
          <w:lang w:val="en-US"/>
        </w:rPr>
        <w:t>discus</w:t>
      </w:r>
      <w:r w:rsidRPr="004B6E15">
        <w:rPr>
          <w:sz w:val="22"/>
          <w:szCs w:val="22"/>
          <w:lang w:val="en-US"/>
        </w:rPr>
        <w:t>sed at para. 48 below</w:t>
      </w:r>
      <w:r w:rsidRPr="00DF5063">
        <w:rPr>
          <w:sz w:val="22"/>
          <w:szCs w:val="22"/>
          <w:lang w:val="en-US"/>
        </w:rPr>
        <w:t>.</w:t>
      </w:r>
    </w:p>
    <w:p w:rsidR="001145F9" w:rsidRPr="00AE4D0F" w:rsidRDefault="001145F9" w:rsidP="00992B82">
      <w:pPr>
        <w:pStyle w:val="FootnoteText"/>
        <w:ind w:left="709" w:hanging="709"/>
        <w:jc w:val="both"/>
        <w:rPr>
          <w:lang w:val="en-US"/>
        </w:rPr>
      </w:pPr>
    </w:p>
  </w:footnote>
  <w:footnote w:id="5">
    <w:p w:rsidR="001145F9" w:rsidRDefault="001145F9" w:rsidP="00E438A9">
      <w:pPr>
        <w:pStyle w:val="FootnoteText"/>
        <w:ind w:left="709" w:hanging="709"/>
        <w:jc w:val="both"/>
        <w:rPr>
          <w:sz w:val="22"/>
          <w:szCs w:val="22"/>
          <w:lang w:val="en-US"/>
        </w:rPr>
      </w:pPr>
      <w:r>
        <w:rPr>
          <w:rStyle w:val="FootnoteReference"/>
        </w:rPr>
        <w:footnoteRef/>
      </w:r>
      <w:r>
        <w:t xml:space="preserve"> </w:t>
      </w:r>
      <w:r>
        <w:rPr>
          <w:lang w:val="en-US"/>
        </w:rPr>
        <w:tab/>
      </w:r>
      <w:r w:rsidRPr="00E438A9">
        <w:rPr>
          <w:sz w:val="22"/>
          <w:szCs w:val="22"/>
          <w:lang w:val="en-US"/>
        </w:rPr>
        <w:t>I assume that this is the figure payable by the Appellants and so includes the necessary adjustment to take out the basic award.</w:t>
      </w:r>
    </w:p>
    <w:p w:rsidR="001145F9" w:rsidRPr="00C4501F" w:rsidRDefault="001145F9" w:rsidP="00E438A9">
      <w:pPr>
        <w:pStyle w:val="FootnoteText"/>
        <w:ind w:left="709" w:hanging="709"/>
        <w:jc w:val="both"/>
        <w:rPr>
          <w:lang w:val="en-US"/>
        </w:rPr>
      </w:pPr>
    </w:p>
  </w:footnote>
  <w:footnote w:id="6">
    <w:p w:rsidR="001145F9" w:rsidRPr="00902FEE" w:rsidRDefault="001145F9" w:rsidP="00902FEE">
      <w:pPr>
        <w:pStyle w:val="FootnoteText"/>
        <w:ind w:left="709" w:hanging="709"/>
        <w:jc w:val="both"/>
        <w:rPr>
          <w:sz w:val="22"/>
          <w:szCs w:val="22"/>
          <w:lang w:val="en-US"/>
        </w:rPr>
      </w:pPr>
      <w:r>
        <w:rPr>
          <w:rStyle w:val="FootnoteReference"/>
        </w:rPr>
        <w:footnoteRef/>
      </w:r>
      <w:r>
        <w:t xml:space="preserve"> </w:t>
      </w:r>
      <w:r>
        <w:rPr>
          <w:lang w:val="en-US"/>
        </w:rPr>
        <w:tab/>
      </w:r>
      <w:r w:rsidRPr="00902FEE">
        <w:rPr>
          <w:sz w:val="22"/>
          <w:szCs w:val="22"/>
          <w:lang w:val="en-US"/>
        </w:rPr>
        <w:t xml:space="preserve">Mr </w:t>
      </w:r>
      <w:r w:rsidR="00C6567F">
        <w:rPr>
          <w:sz w:val="22"/>
          <w:szCs w:val="22"/>
          <w:lang w:val="en-US"/>
        </w:rPr>
        <w:t>Forshaw</w:t>
      </w:r>
      <w:r w:rsidRPr="00902FEE">
        <w:rPr>
          <w:sz w:val="22"/>
          <w:szCs w:val="22"/>
          <w:lang w:val="en-US"/>
        </w:rPr>
        <w:t xml:space="preserve"> will, I hope, forgive me if for convenience I refer to the skelet</w:t>
      </w:r>
      <w:r>
        <w:rPr>
          <w:sz w:val="22"/>
          <w:szCs w:val="22"/>
          <w:lang w:val="en-US"/>
        </w:rPr>
        <w:t xml:space="preserve">on argument simply as Mr Stilitz’s, though </w:t>
      </w:r>
      <w:r w:rsidRPr="00902FEE">
        <w:rPr>
          <w:sz w:val="22"/>
          <w:szCs w:val="22"/>
          <w:lang w:val="en-US"/>
        </w:rPr>
        <w:t>both</w:t>
      </w:r>
      <w:r>
        <w:rPr>
          <w:sz w:val="22"/>
          <w:szCs w:val="22"/>
          <w:lang w:val="en-US"/>
        </w:rPr>
        <w:t xml:space="preserve"> are responsible for it</w:t>
      </w:r>
      <w:r w:rsidRPr="00902FEE">
        <w:rPr>
          <w:sz w:val="22"/>
          <w:szCs w:val="22"/>
          <w:lang w:val="en-US"/>
        </w:rPr>
        <w:t>.</w:t>
      </w:r>
    </w:p>
  </w:footnote>
  <w:footnote w:id="7">
    <w:p w:rsidR="001145F9" w:rsidRPr="00252B40" w:rsidRDefault="001145F9" w:rsidP="00252B40">
      <w:pPr>
        <w:ind w:left="709" w:hanging="709"/>
        <w:jc w:val="both"/>
        <w:rPr>
          <w:sz w:val="22"/>
          <w:szCs w:val="22"/>
        </w:rPr>
      </w:pPr>
      <w:r>
        <w:rPr>
          <w:rStyle w:val="FootnoteReference"/>
        </w:rPr>
        <w:footnoteRef/>
      </w:r>
      <w:r>
        <w:t xml:space="preserve"> </w:t>
      </w:r>
      <w:r>
        <w:rPr>
          <w:lang w:val="en-US"/>
        </w:rPr>
        <w:tab/>
      </w:r>
      <w:r w:rsidRPr="00D95E29">
        <w:rPr>
          <w:sz w:val="22"/>
          <w:szCs w:val="22"/>
          <w:lang w:val="en-US"/>
        </w:rPr>
        <w:t xml:space="preserve">This happened, for example, in the case, which is well-known for other reasons, of </w:t>
      </w:r>
      <w:r w:rsidRPr="00252B40">
        <w:rPr>
          <w:i/>
          <w:sz w:val="22"/>
          <w:szCs w:val="22"/>
          <w:lang w:val="en-US"/>
        </w:rPr>
        <w:t>Yeboah v Crofton</w:t>
      </w:r>
      <w:r>
        <w:rPr>
          <w:sz w:val="22"/>
          <w:szCs w:val="22"/>
          <w:lang w:val="en-US"/>
        </w:rPr>
        <w:t xml:space="preserve"> </w:t>
      </w:r>
      <w:r w:rsidRPr="00252B40">
        <w:rPr>
          <w:color w:val="333335"/>
          <w:sz w:val="22"/>
          <w:szCs w:val="22"/>
          <w:shd w:val="clear" w:color="auto" w:fill="FFFFFF"/>
        </w:rPr>
        <w:t>[2002] EWCA Civ 794</w:t>
      </w:r>
      <w:r>
        <w:rPr>
          <w:color w:val="333335"/>
          <w:sz w:val="22"/>
          <w:szCs w:val="22"/>
          <w:shd w:val="clear" w:color="auto" w:fill="FFFFFF"/>
        </w:rPr>
        <w:t>,</w:t>
      </w:r>
      <w:r w:rsidRPr="00252B40">
        <w:rPr>
          <w:color w:val="333335"/>
          <w:sz w:val="22"/>
          <w:szCs w:val="22"/>
          <w:shd w:val="clear" w:color="auto" w:fill="FFFFFF"/>
        </w:rPr>
        <w:t xml:space="preserve"> </w:t>
      </w:r>
      <w:r w:rsidRPr="00252B40">
        <w:rPr>
          <w:bCs/>
          <w:color w:val="000000"/>
          <w:sz w:val="22"/>
          <w:szCs w:val="22"/>
          <w:shd w:val="clear" w:color="auto" w:fill="FFFFFF"/>
        </w:rPr>
        <w:t>[2002] IRLR 634</w:t>
      </w:r>
      <w:r>
        <w:rPr>
          <w:bCs/>
          <w:color w:val="000000"/>
          <w:sz w:val="22"/>
          <w:szCs w:val="22"/>
          <w:shd w:val="clear" w:color="auto" w:fill="FFFFFF"/>
        </w:rPr>
        <w:t>.</w:t>
      </w:r>
    </w:p>
    <w:p w:rsidR="001145F9" w:rsidRPr="00252B40" w:rsidRDefault="001145F9" w:rsidP="00F96F5A">
      <w:pPr>
        <w:rPr>
          <w:sz w:val="22"/>
          <w:szCs w:val="22"/>
        </w:rPr>
      </w:pPr>
    </w:p>
    <w:p w:rsidR="001145F9" w:rsidRPr="00252B40" w:rsidRDefault="001145F9" w:rsidP="00D95E29">
      <w:pPr>
        <w:pStyle w:val="FootnoteText"/>
        <w:ind w:left="709" w:hanging="709"/>
        <w:jc w:val="both"/>
        <w:rPr>
          <w:sz w:val="22"/>
          <w:szCs w:val="22"/>
          <w:lang w:val="en-US"/>
        </w:rPr>
      </w:pPr>
    </w:p>
  </w:footnote>
  <w:footnote w:id="8">
    <w:p w:rsidR="001145F9" w:rsidRPr="00E16EDB" w:rsidRDefault="001145F9" w:rsidP="000320FF">
      <w:pPr>
        <w:pStyle w:val="FootnoteText"/>
        <w:ind w:left="709" w:hanging="709"/>
        <w:jc w:val="both"/>
        <w:rPr>
          <w:lang w:val="en-US"/>
        </w:rPr>
      </w:pPr>
      <w:r>
        <w:rPr>
          <w:rStyle w:val="FootnoteReference"/>
        </w:rPr>
        <w:footnoteRef/>
      </w:r>
      <w:r>
        <w:t xml:space="preserve"> </w:t>
      </w:r>
      <w:r>
        <w:rPr>
          <w:lang w:val="en-US"/>
        </w:rPr>
        <w:tab/>
      </w:r>
      <w:r w:rsidR="002C3BBF" w:rsidRPr="001A43CE">
        <w:rPr>
          <w:sz w:val="22"/>
          <w:szCs w:val="22"/>
          <w:lang w:val="en-US"/>
        </w:rPr>
        <w:t>In a witness statement lodged for the purpose of the appeal Francesca West, the Chief Executive of Protect, summarised the background to the passing of the 1998 Act and submitted that it showed that the decision</w:t>
      </w:r>
      <w:r w:rsidRPr="001A43CE">
        <w:rPr>
          <w:sz w:val="22"/>
          <w:szCs w:val="22"/>
          <w:lang w:val="en-US"/>
        </w:rPr>
        <w:t xml:space="preserve"> to afford protection to whistleblowers through the mechanisms of the 1996 Act</w:t>
      </w:r>
      <w:r w:rsidR="002C3BBF" w:rsidRPr="001A43CE">
        <w:rPr>
          <w:sz w:val="22"/>
          <w:szCs w:val="22"/>
          <w:lang w:val="en-US"/>
        </w:rPr>
        <w:t>,</w:t>
      </w:r>
      <w:r w:rsidRPr="001A43CE">
        <w:rPr>
          <w:sz w:val="22"/>
          <w:szCs w:val="22"/>
          <w:lang w:val="en-US"/>
        </w:rPr>
        <w:t xml:space="preserve"> rather than by stand-alone legislation on the model</w:t>
      </w:r>
      <w:r>
        <w:rPr>
          <w:sz w:val="22"/>
          <w:szCs w:val="22"/>
          <w:lang w:val="en-US"/>
        </w:rPr>
        <w:t xml:space="preserve"> of the anti-discrimination statutes</w:t>
      </w:r>
      <w:r w:rsidR="002C3BBF">
        <w:rPr>
          <w:sz w:val="22"/>
          <w:szCs w:val="22"/>
          <w:lang w:val="en-US"/>
        </w:rPr>
        <w:t>, was essentially pragmatic</w:t>
      </w:r>
      <w:r w:rsidR="00663062">
        <w:rPr>
          <w:sz w:val="22"/>
          <w:szCs w:val="22"/>
          <w:lang w:val="en-US"/>
        </w:rPr>
        <w:t>.  Plugging the rights in</w:t>
      </w:r>
      <w:r w:rsidR="001A43CE">
        <w:rPr>
          <w:sz w:val="22"/>
          <w:szCs w:val="22"/>
          <w:lang w:val="en-US"/>
        </w:rPr>
        <w:t xml:space="preserve">to </w:t>
      </w:r>
      <w:r w:rsidR="00663062">
        <w:rPr>
          <w:sz w:val="22"/>
          <w:szCs w:val="22"/>
          <w:lang w:val="en-US"/>
        </w:rPr>
        <w:t xml:space="preserve">the structure of an existing statute </w:t>
      </w:r>
      <w:r w:rsidR="001A43CE">
        <w:rPr>
          <w:sz w:val="22"/>
          <w:szCs w:val="22"/>
          <w:lang w:val="en-US"/>
        </w:rPr>
        <w:t>greatly reduced the legislative resources necessary for what originated as a private member’s bill</w:t>
      </w:r>
      <w:r w:rsidR="00663062">
        <w:rPr>
          <w:sz w:val="22"/>
          <w:szCs w:val="22"/>
          <w:lang w:val="en-US"/>
        </w:rPr>
        <w:t xml:space="preserve">; and there was of course at that time no single anti-discrimination statute. </w:t>
      </w:r>
      <w:r w:rsidRPr="007A4321">
        <w:rPr>
          <w:sz w:val="22"/>
          <w:szCs w:val="22"/>
          <w:lang w:val="en-US"/>
        </w:rPr>
        <w:t xml:space="preserve"> </w:t>
      </w:r>
      <w:r w:rsidR="001A43CE">
        <w:rPr>
          <w:sz w:val="22"/>
          <w:szCs w:val="22"/>
          <w:lang w:val="en-US"/>
        </w:rPr>
        <w:t xml:space="preserve">I have no reason to doubt that explanation.  </w:t>
      </w:r>
      <w:r w:rsidR="00663062">
        <w:rPr>
          <w:sz w:val="22"/>
          <w:szCs w:val="22"/>
          <w:lang w:val="en-US"/>
        </w:rPr>
        <w:t>However, the route taken doe</w:t>
      </w:r>
      <w:r w:rsidR="001A43CE">
        <w:rPr>
          <w:sz w:val="22"/>
          <w:szCs w:val="22"/>
          <w:lang w:val="en-US"/>
        </w:rPr>
        <w:t xml:space="preserve">s not </w:t>
      </w:r>
      <w:r w:rsidR="00663062">
        <w:rPr>
          <w:sz w:val="22"/>
          <w:szCs w:val="22"/>
          <w:lang w:val="en-US"/>
        </w:rPr>
        <w:t xml:space="preserve">seem </w:t>
      </w:r>
      <w:r w:rsidR="001A43CE">
        <w:rPr>
          <w:sz w:val="22"/>
          <w:szCs w:val="22"/>
          <w:lang w:val="en-US"/>
        </w:rPr>
        <w:t xml:space="preserve">inappropriate.  </w:t>
      </w:r>
      <w:r w:rsidRPr="007A4321">
        <w:rPr>
          <w:sz w:val="22"/>
          <w:szCs w:val="22"/>
          <w:lang w:val="en-US"/>
        </w:rPr>
        <w:t xml:space="preserve">At the conceptual level, whistleblowing is not an inherent characteristic like sex or race; and it </w:t>
      </w:r>
      <w:r w:rsidR="001A43CE">
        <w:rPr>
          <w:sz w:val="22"/>
          <w:szCs w:val="22"/>
          <w:lang w:val="en-US"/>
        </w:rPr>
        <w:t>may</w:t>
      </w:r>
      <w:r w:rsidRPr="007A4321">
        <w:rPr>
          <w:sz w:val="22"/>
          <w:szCs w:val="22"/>
          <w:lang w:val="en-US"/>
        </w:rPr>
        <w:t xml:space="preserve"> natural</w:t>
      </w:r>
      <w:r w:rsidR="001A43CE">
        <w:rPr>
          <w:sz w:val="22"/>
          <w:szCs w:val="22"/>
          <w:lang w:val="en-US"/>
        </w:rPr>
        <w:t>ly be</w:t>
      </w:r>
      <w:r w:rsidRPr="007A4321">
        <w:rPr>
          <w:sz w:val="22"/>
          <w:szCs w:val="22"/>
          <w:lang w:val="en-US"/>
        </w:rPr>
        <w:t xml:space="preserve"> regard</w:t>
      </w:r>
      <w:r w:rsidR="001A43CE">
        <w:rPr>
          <w:sz w:val="22"/>
          <w:szCs w:val="22"/>
          <w:lang w:val="en-US"/>
        </w:rPr>
        <w:t xml:space="preserve">ed as belonging </w:t>
      </w:r>
      <w:r w:rsidRPr="007A4321">
        <w:rPr>
          <w:sz w:val="22"/>
          <w:szCs w:val="22"/>
          <w:lang w:val="en-US"/>
        </w:rPr>
        <w:t>to the same family as the kinds of protected ground dealt with by the 1996 Act.  Making a protected disclosure is very much the same kind of thing as taking action to promote health and safety (see section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DB" w:rsidRDefault="00763F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DB" w:rsidRDefault="00763F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FDB" w:rsidRDefault="00763FD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622"/>
      <w:gridCol w:w="4622"/>
    </w:tblGrid>
    <w:tr w:rsidR="001145F9">
      <w:tc>
        <w:tcPr>
          <w:tcW w:w="4622" w:type="dxa"/>
        </w:tcPr>
        <w:p w:rsidR="001145F9" w:rsidRPr="00763FDB" w:rsidRDefault="00763FDB">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rsidR="001145F9" w:rsidRDefault="001145F9">
          <w:pPr>
            <w:pStyle w:val="Header"/>
            <w:jc w:val="right"/>
            <w:rPr>
              <w:rFonts w:ascii="Times New Roman" w:hAnsi="Times New Roman"/>
              <w:sz w:val="16"/>
            </w:rPr>
          </w:pPr>
          <w:r>
            <w:rPr>
              <w:rFonts w:ascii="Times New Roman" w:hAnsi="Times New Roman"/>
              <w:sz w:val="16"/>
            </w:rPr>
            <w:t>IP v Osipov</w:t>
          </w:r>
        </w:p>
      </w:tc>
    </w:tr>
  </w:tbl>
  <w:p w:rsidR="001145F9" w:rsidRDefault="001145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010A09BB"/>
    <w:multiLevelType w:val="multilevel"/>
    <w:tmpl w:val="D9D69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A4186E"/>
    <w:multiLevelType w:val="hybridMultilevel"/>
    <w:tmpl w:val="45E6FFF0"/>
    <w:lvl w:ilvl="0" w:tplc="20326D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4B712E"/>
    <w:multiLevelType w:val="multilevel"/>
    <w:tmpl w:val="A33C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E22B47"/>
    <w:multiLevelType w:val="multilevel"/>
    <w:tmpl w:val="E0AA6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67728A"/>
    <w:multiLevelType w:val="multilevel"/>
    <w:tmpl w:val="BBEE4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3F3F60"/>
    <w:multiLevelType w:val="multilevel"/>
    <w:tmpl w:val="F8BCF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B41899"/>
    <w:multiLevelType w:val="hybridMultilevel"/>
    <w:tmpl w:val="823C98EE"/>
    <w:lvl w:ilvl="0" w:tplc="F2C2A41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9" w15:restartNumberingAfterBreak="0">
    <w:nsid w:val="7B0379D5"/>
    <w:multiLevelType w:val="hybridMultilevel"/>
    <w:tmpl w:val="BB1EDF06"/>
    <w:lvl w:ilvl="0" w:tplc="2680415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0"/>
  </w:num>
  <w:num w:numId="11">
    <w:abstractNumId w:val="2"/>
  </w:num>
  <w:num w:numId="12">
    <w:abstractNumId w:val="7"/>
  </w:num>
  <w:num w:numId="13">
    <w:abstractNumId w:val="4"/>
    <w:lvlOverride w:ilvl="0">
      <w:startOverride w:val="26"/>
    </w:lvlOverride>
  </w:num>
  <w:num w:numId="14">
    <w:abstractNumId w:val="4"/>
    <w:lvlOverride w:ilvl="0">
      <w:startOverride w:val="27"/>
    </w:lvlOverride>
  </w:num>
  <w:num w:numId="15">
    <w:abstractNumId w:val="6"/>
    <w:lvlOverride w:ilvl="0">
      <w:startOverride w:val="32"/>
    </w:lvlOverride>
  </w:num>
  <w:num w:numId="16">
    <w:abstractNumId w:val="6"/>
    <w:lvlOverride w:ilvl="0">
      <w:startOverride w:val="33"/>
    </w:lvlOverride>
  </w:num>
  <w:num w:numId="17">
    <w:abstractNumId w:val="6"/>
    <w:lvlOverride w:ilvl="0">
      <w:startOverride w:val="34"/>
    </w:lvlOverride>
  </w:num>
  <w:num w:numId="18">
    <w:abstractNumId w:val="5"/>
    <w:lvlOverride w:ilvl="0">
      <w:startOverride w:val="15"/>
    </w:lvlOverride>
  </w:num>
  <w:num w:numId="19">
    <w:abstractNumId w:val="3"/>
    <w:lvlOverride w:ilvl="0">
      <w:startOverride w:val="21"/>
    </w:lvlOverride>
  </w:num>
  <w:num w:numId="20">
    <w:abstractNumId w:val="1"/>
    <w:lvlOverride w:ilvl="0">
      <w:startOverride w:val="20"/>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8B1"/>
    <w:rsid w:val="000000C1"/>
    <w:rsid w:val="000002A6"/>
    <w:rsid w:val="00000781"/>
    <w:rsid w:val="00000B86"/>
    <w:rsid w:val="00000DF6"/>
    <w:rsid w:val="000022DF"/>
    <w:rsid w:val="000024C8"/>
    <w:rsid w:val="000025A0"/>
    <w:rsid w:val="000043AF"/>
    <w:rsid w:val="00004532"/>
    <w:rsid w:val="00004D37"/>
    <w:rsid w:val="0000501A"/>
    <w:rsid w:val="00005D00"/>
    <w:rsid w:val="00005FDA"/>
    <w:rsid w:val="000063D9"/>
    <w:rsid w:val="00006B19"/>
    <w:rsid w:val="00010C74"/>
    <w:rsid w:val="00011F74"/>
    <w:rsid w:val="0001252C"/>
    <w:rsid w:val="000125BB"/>
    <w:rsid w:val="00013559"/>
    <w:rsid w:val="00013C6F"/>
    <w:rsid w:val="00014343"/>
    <w:rsid w:val="0001459E"/>
    <w:rsid w:val="00015182"/>
    <w:rsid w:val="00015488"/>
    <w:rsid w:val="00015894"/>
    <w:rsid w:val="0001633A"/>
    <w:rsid w:val="00017F17"/>
    <w:rsid w:val="0002155B"/>
    <w:rsid w:val="00021658"/>
    <w:rsid w:val="00022096"/>
    <w:rsid w:val="00022606"/>
    <w:rsid w:val="00022965"/>
    <w:rsid w:val="00023C25"/>
    <w:rsid w:val="0002544B"/>
    <w:rsid w:val="0002591C"/>
    <w:rsid w:val="00026774"/>
    <w:rsid w:val="00027C44"/>
    <w:rsid w:val="00030A32"/>
    <w:rsid w:val="00030D62"/>
    <w:rsid w:val="00031F4B"/>
    <w:rsid w:val="000320FF"/>
    <w:rsid w:val="0003281F"/>
    <w:rsid w:val="000329E9"/>
    <w:rsid w:val="000332A8"/>
    <w:rsid w:val="00033E85"/>
    <w:rsid w:val="00033FAF"/>
    <w:rsid w:val="000343C9"/>
    <w:rsid w:val="00034E59"/>
    <w:rsid w:val="00034EF1"/>
    <w:rsid w:val="00035137"/>
    <w:rsid w:val="00037319"/>
    <w:rsid w:val="00040752"/>
    <w:rsid w:val="00041BFA"/>
    <w:rsid w:val="00041D04"/>
    <w:rsid w:val="00042CC9"/>
    <w:rsid w:val="000430FB"/>
    <w:rsid w:val="000433E5"/>
    <w:rsid w:val="00043886"/>
    <w:rsid w:val="000441F9"/>
    <w:rsid w:val="000442B2"/>
    <w:rsid w:val="00045383"/>
    <w:rsid w:val="000456D5"/>
    <w:rsid w:val="00046358"/>
    <w:rsid w:val="000505A1"/>
    <w:rsid w:val="00051294"/>
    <w:rsid w:val="00051A59"/>
    <w:rsid w:val="00051D8C"/>
    <w:rsid w:val="00052ED9"/>
    <w:rsid w:val="0005313A"/>
    <w:rsid w:val="000536B4"/>
    <w:rsid w:val="00053B45"/>
    <w:rsid w:val="000578C3"/>
    <w:rsid w:val="00057BEB"/>
    <w:rsid w:val="00057BF5"/>
    <w:rsid w:val="00060E1B"/>
    <w:rsid w:val="0006275D"/>
    <w:rsid w:val="000633F6"/>
    <w:rsid w:val="00063867"/>
    <w:rsid w:val="0006453F"/>
    <w:rsid w:val="00065A23"/>
    <w:rsid w:val="00067141"/>
    <w:rsid w:val="00067967"/>
    <w:rsid w:val="00067AA9"/>
    <w:rsid w:val="00067AE5"/>
    <w:rsid w:val="000718CD"/>
    <w:rsid w:val="00071E77"/>
    <w:rsid w:val="00072B61"/>
    <w:rsid w:val="00072F2D"/>
    <w:rsid w:val="00074AE1"/>
    <w:rsid w:val="00077008"/>
    <w:rsid w:val="000801FD"/>
    <w:rsid w:val="000804EA"/>
    <w:rsid w:val="00082EBB"/>
    <w:rsid w:val="0008490D"/>
    <w:rsid w:val="00085EA4"/>
    <w:rsid w:val="00086641"/>
    <w:rsid w:val="00087D7E"/>
    <w:rsid w:val="0009019C"/>
    <w:rsid w:val="00090725"/>
    <w:rsid w:val="00090802"/>
    <w:rsid w:val="00092AED"/>
    <w:rsid w:val="00093915"/>
    <w:rsid w:val="000942A2"/>
    <w:rsid w:val="000942A6"/>
    <w:rsid w:val="000947B9"/>
    <w:rsid w:val="0009498B"/>
    <w:rsid w:val="000955C0"/>
    <w:rsid w:val="00096485"/>
    <w:rsid w:val="000969E4"/>
    <w:rsid w:val="0009712D"/>
    <w:rsid w:val="000A1D89"/>
    <w:rsid w:val="000A291D"/>
    <w:rsid w:val="000A3EA1"/>
    <w:rsid w:val="000A632E"/>
    <w:rsid w:val="000A6AA9"/>
    <w:rsid w:val="000A79C8"/>
    <w:rsid w:val="000A7A2D"/>
    <w:rsid w:val="000B0411"/>
    <w:rsid w:val="000B04A0"/>
    <w:rsid w:val="000B04B7"/>
    <w:rsid w:val="000B06F9"/>
    <w:rsid w:val="000B1B8B"/>
    <w:rsid w:val="000B2356"/>
    <w:rsid w:val="000B28CF"/>
    <w:rsid w:val="000B3778"/>
    <w:rsid w:val="000B3BEE"/>
    <w:rsid w:val="000B42EC"/>
    <w:rsid w:val="000B5ABB"/>
    <w:rsid w:val="000B62AB"/>
    <w:rsid w:val="000B64A3"/>
    <w:rsid w:val="000B6677"/>
    <w:rsid w:val="000B6E16"/>
    <w:rsid w:val="000B753F"/>
    <w:rsid w:val="000C1870"/>
    <w:rsid w:val="000C2672"/>
    <w:rsid w:val="000C49C0"/>
    <w:rsid w:val="000C50FB"/>
    <w:rsid w:val="000C54DA"/>
    <w:rsid w:val="000C587A"/>
    <w:rsid w:val="000C7944"/>
    <w:rsid w:val="000D0227"/>
    <w:rsid w:val="000D0935"/>
    <w:rsid w:val="000D124C"/>
    <w:rsid w:val="000D3C85"/>
    <w:rsid w:val="000D62A8"/>
    <w:rsid w:val="000D635E"/>
    <w:rsid w:val="000D7389"/>
    <w:rsid w:val="000E05AE"/>
    <w:rsid w:val="000E128C"/>
    <w:rsid w:val="000E17C4"/>
    <w:rsid w:val="000E34A5"/>
    <w:rsid w:val="000E3C8B"/>
    <w:rsid w:val="000E743A"/>
    <w:rsid w:val="000E780E"/>
    <w:rsid w:val="000F0380"/>
    <w:rsid w:val="000F209C"/>
    <w:rsid w:val="000F7319"/>
    <w:rsid w:val="000F738C"/>
    <w:rsid w:val="000F7F55"/>
    <w:rsid w:val="00100520"/>
    <w:rsid w:val="001036BA"/>
    <w:rsid w:val="001042F8"/>
    <w:rsid w:val="001066D6"/>
    <w:rsid w:val="0010694B"/>
    <w:rsid w:val="00107BE5"/>
    <w:rsid w:val="00110E81"/>
    <w:rsid w:val="00113E62"/>
    <w:rsid w:val="001145F9"/>
    <w:rsid w:val="001154F3"/>
    <w:rsid w:val="001234F8"/>
    <w:rsid w:val="0012387A"/>
    <w:rsid w:val="00124707"/>
    <w:rsid w:val="00124A2C"/>
    <w:rsid w:val="001273BD"/>
    <w:rsid w:val="00127AAD"/>
    <w:rsid w:val="0013040A"/>
    <w:rsid w:val="00130C4B"/>
    <w:rsid w:val="00130FA7"/>
    <w:rsid w:val="00131F59"/>
    <w:rsid w:val="00132EC6"/>
    <w:rsid w:val="001334D2"/>
    <w:rsid w:val="00133F0D"/>
    <w:rsid w:val="00134150"/>
    <w:rsid w:val="0013420D"/>
    <w:rsid w:val="00137A45"/>
    <w:rsid w:val="00140ECC"/>
    <w:rsid w:val="00143638"/>
    <w:rsid w:val="001436E9"/>
    <w:rsid w:val="00143910"/>
    <w:rsid w:val="00146CB7"/>
    <w:rsid w:val="00146E7F"/>
    <w:rsid w:val="001508A0"/>
    <w:rsid w:val="001516B5"/>
    <w:rsid w:val="00151E0D"/>
    <w:rsid w:val="001520B5"/>
    <w:rsid w:val="00152C5A"/>
    <w:rsid w:val="0015304B"/>
    <w:rsid w:val="0015362B"/>
    <w:rsid w:val="00153A6B"/>
    <w:rsid w:val="00154969"/>
    <w:rsid w:val="00156927"/>
    <w:rsid w:val="00156BCB"/>
    <w:rsid w:val="00156DCD"/>
    <w:rsid w:val="00156EA4"/>
    <w:rsid w:val="00160077"/>
    <w:rsid w:val="00160186"/>
    <w:rsid w:val="00160605"/>
    <w:rsid w:val="00160C0F"/>
    <w:rsid w:val="00161164"/>
    <w:rsid w:val="0016118E"/>
    <w:rsid w:val="001618C5"/>
    <w:rsid w:val="00161AF0"/>
    <w:rsid w:val="00161FA4"/>
    <w:rsid w:val="001620D7"/>
    <w:rsid w:val="00162F1A"/>
    <w:rsid w:val="00165335"/>
    <w:rsid w:val="00167D42"/>
    <w:rsid w:val="00167F12"/>
    <w:rsid w:val="00170152"/>
    <w:rsid w:val="00170AE6"/>
    <w:rsid w:val="00170B44"/>
    <w:rsid w:val="0017112B"/>
    <w:rsid w:val="00171B64"/>
    <w:rsid w:val="00171CB2"/>
    <w:rsid w:val="0017212F"/>
    <w:rsid w:val="00173374"/>
    <w:rsid w:val="00173F60"/>
    <w:rsid w:val="001741CC"/>
    <w:rsid w:val="001757E9"/>
    <w:rsid w:val="00180002"/>
    <w:rsid w:val="00180676"/>
    <w:rsid w:val="00181679"/>
    <w:rsid w:val="00181BAE"/>
    <w:rsid w:val="00182923"/>
    <w:rsid w:val="00183347"/>
    <w:rsid w:val="001844B9"/>
    <w:rsid w:val="00184C37"/>
    <w:rsid w:val="00185785"/>
    <w:rsid w:val="0018687D"/>
    <w:rsid w:val="001874CA"/>
    <w:rsid w:val="0019019B"/>
    <w:rsid w:val="00191224"/>
    <w:rsid w:val="001916C6"/>
    <w:rsid w:val="001918AA"/>
    <w:rsid w:val="00191AD1"/>
    <w:rsid w:val="0019280B"/>
    <w:rsid w:val="00193F40"/>
    <w:rsid w:val="00194A8E"/>
    <w:rsid w:val="00194BEA"/>
    <w:rsid w:val="00194C0F"/>
    <w:rsid w:val="00194C13"/>
    <w:rsid w:val="0019537F"/>
    <w:rsid w:val="001975A7"/>
    <w:rsid w:val="001978AC"/>
    <w:rsid w:val="00197FB8"/>
    <w:rsid w:val="001A00FB"/>
    <w:rsid w:val="001A0756"/>
    <w:rsid w:val="001A0F8F"/>
    <w:rsid w:val="001A19D1"/>
    <w:rsid w:val="001A43CE"/>
    <w:rsid w:val="001A468F"/>
    <w:rsid w:val="001A72EC"/>
    <w:rsid w:val="001A7C0A"/>
    <w:rsid w:val="001B09EF"/>
    <w:rsid w:val="001B0F08"/>
    <w:rsid w:val="001B0F81"/>
    <w:rsid w:val="001B1820"/>
    <w:rsid w:val="001B19BC"/>
    <w:rsid w:val="001B1D83"/>
    <w:rsid w:val="001B2104"/>
    <w:rsid w:val="001B4C93"/>
    <w:rsid w:val="001B7291"/>
    <w:rsid w:val="001B7952"/>
    <w:rsid w:val="001C0583"/>
    <w:rsid w:val="001C0A37"/>
    <w:rsid w:val="001C102F"/>
    <w:rsid w:val="001C21F0"/>
    <w:rsid w:val="001C2505"/>
    <w:rsid w:val="001C2808"/>
    <w:rsid w:val="001C331C"/>
    <w:rsid w:val="001C348E"/>
    <w:rsid w:val="001C3D51"/>
    <w:rsid w:val="001C3DB5"/>
    <w:rsid w:val="001C5397"/>
    <w:rsid w:val="001C55C7"/>
    <w:rsid w:val="001C5C24"/>
    <w:rsid w:val="001C6088"/>
    <w:rsid w:val="001C61AA"/>
    <w:rsid w:val="001C6F11"/>
    <w:rsid w:val="001D00D9"/>
    <w:rsid w:val="001D0146"/>
    <w:rsid w:val="001D071D"/>
    <w:rsid w:val="001D2219"/>
    <w:rsid w:val="001D2A08"/>
    <w:rsid w:val="001D3D76"/>
    <w:rsid w:val="001D6E4E"/>
    <w:rsid w:val="001D7A07"/>
    <w:rsid w:val="001D7D40"/>
    <w:rsid w:val="001E217D"/>
    <w:rsid w:val="001E3C42"/>
    <w:rsid w:val="001E6706"/>
    <w:rsid w:val="001F0110"/>
    <w:rsid w:val="001F0C2F"/>
    <w:rsid w:val="001F0F0F"/>
    <w:rsid w:val="001F14FC"/>
    <w:rsid w:val="001F1B2E"/>
    <w:rsid w:val="001F31E9"/>
    <w:rsid w:val="001F320C"/>
    <w:rsid w:val="001F337D"/>
    <w:rsid w:val="001F37A7"/>
    <w:rsid w:val="001F4662"/>
    <w:rsid w:val="001F506B"/>
    <w:rsid w:val="001F63A1"/>
    <w:rsid w:val="001F6472"/>
    <w:rsid w:val="001F733A"/>
    <w:rsid w:val="001F7FE8"/>
    <w:rsid w:val="00201808"/>
    <w:rsid w:val="00201D31"/>
    <w:rsid w:val="00202688"/>
    <w:rsid w:val="00203872"/>
    <w:rsid w:val="00204E37"/>
    <w:rsid w:val="0020594B"/>
    <w:rsid w:val="0020596E"/>
    <w:rsid w:val="00205C16"/>
    <w:rsid w:val="00205D3D"/>
    <w:rsid w:val="002062E4"/>
    <w:rsid w:val="00207005"/>
    <w:rsid w:val="00207955"/>
    <w:rsid w:val="00210904"/>
    <w:rsid w:val="0021141E"/>
    <w:rsid w:val="00211BD9"/>
    <w:rsid w:val="00212390"/>
    <w:rsid w:val="00212402"/>
    <w:rsid w:val="00212F18"/>
    <w:rsid w:val="002150E8"/>
    <w:rsid w:val="00215C95"/>
    <w:rsid w:val="00216B55"/>
    <w:rsid w:val="00217232"/>
    <w:rsid w:val="0021778E"/>
    <w:rsid w:val="00217CB5"/>
    <w:rsid w:val="00220F37"/>
    <w:rsid w:val="00221838"/>
    <w:rsid w:val="0022204B"/>
    <w:rsid w:val="00222106"/>
    <w:rsid w:val="00222A55"/>
    <w:rsid w:val="00222D51"/>
    <w:rsid w:val="00223109"/>
    <w:rsid w:val="002245B4"/>
    <w:rsid w:val="002252CF"/>
    <w:rsid w:val="00225EE8"/>
    <w:rsid w:val="00227E02"/>
    <w:rsid w:val="002302CC"/>
    <w:rsid w:val="0023082A"/>
    <w:rsid w:val="00230E1A"/>
    <w:rsid w:val="0023285B"/>
    <w:rsid w:val="002341E5"/>
    <w:rsid w:val="00234A07"/>
    <w:rsid w:val="002350B6"/>
    <w:rsid w:val="0023679B"/>
    <w:rsid w:val="002406CE"/>
    <w:rsid w:val="00242F31"/>
    <w:rsid w:val="00243594"/>
    <w:rsid w:val="0024484D"/>
    <w:rsid w:val="00244A42"/>
    <w:rsid w:val="00244BD4"/>
    <w:rsid w:val="00244E69"/>
    <w:rsid w:val="00244F92"/>
    <w:rsid w:val="00245D6A"/>
    <w:rsid w:val="00245EA6"/>
    <w:rsid w:val="002472A3"/>
    <w:rsid w:val="00247944"/>
    <w:rsid w:val="002509F5"/>
    <w:rsid w:val="00252195"/>
    <w:rsid w:val="002526C2"/>
    <w:rsid w:val="00252B40"/>
    <w:rsid w:val="00253382"/>
    <w:rsid w:val="00253BBA"/>
    <w:rsid w:val="00254016"/>
    <w:rsid w:val="00255812"/>
    <w:rsid w:val="00256FC1"/>
    <w:rsid w:val="00257396"/>
    <w:rsid w:val="00257938"/>
    <w:rsid w:val="002605A4"/>
    <w:rsid w:val="002615BB"/>
    <w:rsid w:val="00261F75"/>
    <w:rsid w:val="0026248D"/>
    <w:rsid w:val="00262A24"/>
    <w:rsid w:val="00262B54"/>
    <w:rsid w:val="00263223"/>
    <w:rsid w:val="00263722"/>
    <w:rsid w:val="002642D7"/>
    <w:rsid w:val="00264BBC"/>
    <w:rsid w:val="00264CE9"/>
    <w:rsid w:val="00264F71"/>
    <w:rsid w:val="00265A8F"/>
    <w:rsid w:val="002662A9"/>
    <w:rsid w:val="002666D2"/>
    <w:rsid w:val="00266C64"/>
    <w:rsid w:val="0027088E"/>
    <w:rsid w:val="00274AE4"/>
    <w:rsid w:val="00275639"/>
    <w:rsid w:val="00276D47"/>
    <w:rsid w:val="00276F84"/>
    <w:rsid w:val="00277D42"/>
    <w:rsid w:val="00277F24"/>
    <w:rsid w:val="00280856"/>
    <w:rsid w:val="00280D8A"/>
    <w:rsid w:val="00281FED"/>
    <w:rsid w:val="002828D3"/>
    <w:rsid w:val="002836F0"/>
    <w:rsid w:val="00283D7B"/>
    <w:rsid w:val="00284357"/>
    <w:rsid w:val="0028442E"/>
    <w:rsid w:val="00285398"/>
    <w:rsid w:val="002858F1"/>
    <w:rsid w:val="00285EDD"/>
    <w:rsid w:val="0028638C"/>
    <w:rsid w:val="00287160"/>
    <w:rsid w:val="00287FA9"/>
    <w:rsid w:val="00290737"/>
    <w:rsid w:val="00290AC8"/>
    <w:rsid w:val="002919C3"/>
    <w:rsid w:val="00291DC7"/>
    <w:rsid w:val="00291DDC"/>
    <w:rsid w:val="00292BEC"/>
    <w:rsid w:val="00293A33"/>
    <w:rsid w:val="00294224"/>
    <w:rsid w:val="00294359"/>
    <w:rsid w:val="00294E39"/>
    <w:rsid w:val="00294E5E"/>
    <w:rsid w:val="0029542A"/>
    <w:rsid w:val="00295A61"/>
    <w:rsid w:val="00296287"/>
    <w:rsid w:val="0029784D"/>
    <w:rsid w:val="00297912"/>
    <w:rsid w:val="00297DF6"/>
    <w:rsid w:val="002A0176"/>
    <w:rsid w:val="002A05E8"/>
    <w:rsid w:val="002A0665"/>
    <w:rsid w:val="002A0B58"/>
    <w:rsid w:val="002A1379"/>
    <w:rsid w:val="002A18CB"/>
    <w:rsid w:val="002A22E4"/>
    <w:rsid w:val="002A2F34"/>
    <w:rsid w:val="002A2FB4"/>
    <w:rsid w:val="002A3017"/>
    <w:rsid w:val="002A3358"/>
    <w:rsid w:val="002A6AC7"/>
    <w:rsid w:val="002A7043"/>
    <w:rsid w:val="002B06E5"/>
    <w:rsid w:val="002B1CBD"/>
    <w:rsid w:val="002B1F0E"/>
    <w:rsid w:val="002B23B8"/>
    <w:rsid w:val="002B4139"/>
    <w:rsid w:val="002B4E9A"/>
    <w:rsid w:val="002B5739"/>
    <w:rsid w:val="002B5EC4"/>
    <w:rsid w:val="002B7B2D"/>
    <w:rsid w:val="002C0EE1"/>
    <w:rsid w:val="002C238C"/>
    <w:rsid w:val="002C3BBF"/>
    <w:rsid w:val="002C540F"/>
    <w:rsid w:val="002C54FA"/>
    <w:rsid w:val="002C5E37"/>
    <w:rsid w:val="002C6BBA"/>
    <w:rsid w:val="002C7CA7"/>
    <w:rsid w:val="002D0DE0"/>
    <w:rsid w:val="002D1279"/>
    <w:rsid w:val="002D25B1"/>
    <w:rsid w:val="002D3061"/>
    <w:rsid w:val="002D4BA8"/>
    <w:rsid w:val="002D4F5D"/>
    <w:rsid w:val="002D5D4A"/>
    <w:rsid w:val="002D7AD6"/>
    <w:rsid w:val="002E0C89"/>
    <w:rsid w:val="002E100A"/>
    <w:rsid w:val="002E227B"/>
    <w:rsid w:val="002E2CBB"/>
    <w:rsid w:val="002E474E"/>
    <w:rsid w:val="002E5194"/>
    <w:rsid w:val="002E5C6C"/>
    <w:rsid w:val="002E606B"/>
    <w:rsid w:val="002E60F8"/>
    <w:rsid w:val="002E64B6"/>
    <w:rsid w:val="002E67E6"/>
    <w:rsid w:val="002E7421"/>
    <w:rsid w:val="002E7B40"/>
    <w:rsid w:val="002F03CE"/>
    <w:rsid w:val="002F1EF3"/>
    <w:rsid w:val="002F2EFD"/>
    <w:rsid w:val="002F3327"/>
    <w:rsid w:val="002F34E5"/>
    <w:rsid w:val="002F4CB4"/>
    <w:rsid w:val="002F598A"/>
    <w:rsid w:val="002F61F8"/>
    <w:rsid w:val="002F6665"/>
    <w:rsid w:val="00300FAD"/>
    <w:rsid w:val="00302F8B"/>
    <w:rsid w:val="0030350C"/>
    <w:rsid w:val="00303836"/>
    <w:rsid w:val="00304070"/>
    <w:rsid w:val="003054A5"/>
    <w:rsid w:val="003054C3"/>
    <w:rsid w:val="003068E4"/>
    <w:rsid w:val="00307D83"/>
    <w:rsid w:val="003109E8"/>
    <w:rsid w:val="00310EBA"/>
    <w:rsid w:val="003129FA"/>
    <w:rsid w:val="003147B8"/>
    <w:rsid w:val="003148EA"/>
    <w:rsid w:val="00314C1B"/>
    <w:rsid w:val="00314E2B"/>
    <w:rsid w:val="00315A0E"/>
    <w:rsid w:val="00315B4E"/>
    <w:rsid w:val="00316429"/>
    <w:rsid w:val="00317C7A"/>
    <w:rsid w:val="00321BA2"/>
    <w:rsid w:val="00322319"/>
    <w:rsid w:val="003231B5"/>
    <w:rsid w:val="003238B1"/>
    <w:rsid w:val="00323EE7"/>
    <w:rsid w:val="003255EF"/>
    <w:rsid w:val="00325CC8"/>
    <w:rsid w:val="00325E76"/>
    <w:rsid w:val="00327D3C"/>
    <w:rsid w:val="00332249"/>
    <w:rsid w:val="003332E7"/>
    <w:rsid w:val="00334660"/>
    <w:rsid w:val="003354A3"/>
    <w:rsid w:val="003426F8"/>
    <w:rsid w:val="0034348A"/>
    <w:rsid w:val="00343574"/>
    <w:rsid w:val="00343760"/>
    <w:rsid w:val="0034383C"/>
    <w:rsid w:val="0034385C"/>
    <w:rsid w:val="00343B59"/>
    <w:rsid w:val="00344288"/>
    <w:rsid w:val="003447B5"/>
    <w:rsid w:val="00344832"/>
    <w:rsid w:val="00344B01"/>
    <w:rsid w:val="003475A3"/>
    <w:rsid w:val="0035049B"/>
    <w:rsid w:val="0035279C"/>
    <w:rsid w:val="00355E22"/>
    <w:rsid w:val="00355E56"/>
    <w:rsid w:val="003575EC"/>
    <w:rsid w:val="00360D11"/>
    <w:rsid w:val="00361490"/>
    <w:rsid w:val="00361925"/>
    <w:rsid w:val="00362568"/>
    <w:rsid w:val="003652B6"/>
    <w:rsid w:val="003653E6"/>
    <w:rsid w:val="00365F22"/>
    <w:rsid w:val="0036611D"/>
    <w:rsid w:val="00366F20"/>
    <w:rsid w:val="00367013"/>
    <w:rsid w:val="003672E6"/>
    <w:rsid w:val="00367AC0"/>
    <w:rsid w:val="003705F8"/>
    <w:rsid w:val="003710DC"/>
    <w:rsid w:val="00372CC2"/>
    <w:rsid w:val="003737F0"/>
    <w:rsid w:val="00373D02"/>
    <w:rsid w:val="003761E5"/>
    <w:rsid w:val="003821F5"/>
    <w:rsid w:val="0038339A"/>
    <w:rsid w:val="00383BC2"/>
    <w:rsid w:val="00383C2C"/>
    <w:rsid w:val="00385385"/>
    <w:rsid w:val="003862BE"/>
    <w:rsid w:val="0038684A"/>
    <w:rsid w:val="0038736B"/>
    <w:rsid w:val="00387A0F"/>
    <w:rsid w:val="00387C94"/>
    <w:rsid w:val="003900BB"/>
    <w:rsid w:val="0039048F"/>
    <w:rsid w:val="0039055F"/>
    <w:rsid w:val="00390A7D"/>
    <w:rsid w:val="003925DF"/>
    <w:rsid w:val="00392735"/>
    <w:rsid w:val="003928E5"/>
    <w:rsid w:val="003933CF"/>
    <w:rsid w:val="00393FE4"/>
    <w:rsid w:val="00396717"/>
    <w:rsid w:val="00396F11"/>
    <w:rsid w:val="003A25F0"/>
    <w:rsid w:val="003A33BC"/>
    <w:rsid w:val="003A3D14"/>
    <w:rsid w:val="003A4000"/>
    <w:rsid w:val="003A4F0B"/>
    <w:rsid w:val="003A710C"/>
    <w:rsid w:val="003B180F"/>
    <w:rsid w:val="003B32F0"/>
    <w:rsid w:val="003B4610"/>
    <w:rsid w:val="003B5B06"/>
    <w:rsid w:val="003B600B"/>
    <w:rsid w:val="003B60F5"/>
    <w:rsid w:val="003B6392"/>
    <w:rsid w:val="003B7565"/>
    <w:rsid w:val="003B7709"/>
    <w:rsid w:val="003B7836"/>
    <w:rsid w:val="003C0DFE"/>
    <w:rsid w:val="003C1617"/>
    <w:rsid w:val="003C2522"/>
    <w:rsid w:val="003C26C1"/>
    <w:rsid w:val="003C3089"/>
    <w:rsid w:val="003C3BC8"/>
    <w:rsid w:val="003C471E"/>
    <w:rsid w:val="003C528A"/>
    <w:rsid w:val="003C7367"/>
    <w:rsid w:val="003D0552"/>
    <w:rsid w:val="003D0B6C"/>
    <w:rsid w:val="003D114B"/>
    <w:rsid w:val="003D1620"/>
    <w:rsid w:val="003D38F1"/>
    <w:rsid w:val="003D3B61"/>
    <w:rsid w:val="003D3D9B"/>
    <w:rsid w:val="003D44D5"/>
    <w:rsid w:val="003D4D27"/>
    <w:rsid w:val="003D4D38"/>
    <w:rsid w:val="003D5566"/>
    <w:rsid w:val="003D66C2"/>
    <w:rsid w:val="003D6EF9"/>
    <w:rsid w:val="003D7216"/>
    <w:rsid w:val="003E1C1D"/>
    <w:rsid w:val="003E3A13"/>
    <w:rsid w:val="003E3DED"/>
    <w:rsid w:val="003E4864"/>
    <w:rsid w:val="003E516A"/>
    <w:rsid w:val="003E57F2"/>
    <w:rsid w:val="003E6097"/>
    <w:rsid w:val="003E7586"/>
    <w:rsid w:val="003E78BC"/>
    <w:rsid w:val="003E7A23"/>
    <w:rsid w:val="003F0247"/>
    <w:rsid w:val="003F0862"/>
    <w:rsid w:val="003F1ECA"/>
    <w:rsid w:val="003F2C1F"/>
    <w:rsid w:val="003F3E0E"/>
    <w:rsid w:val="003F62E4"/>
    <w:rsid w:val="003F66FC"/>
    <w:rsid w:val="003F6944"/>
    <w:rsid w:val="003F6E05"/>
    <w:rsid w:val="003F6F88"/>
    <w:rsid w:val="003F7004"/>
    <w:rsid w:val="004009DC"/>
    <w:rsid w:val="00400A4C"/>
    <w:rsid w:val="00404355"/>
    <w:rsid w:val="00404420"/>
    <w:rsid w:val="00404CA1"/>
    <w:rsid w:val="004051D3"/>
    <w:rsid w:val="004066C0"/>
    <w:rsid w:val="0040720B"/>
    <w:rsid w:val="00410021"/>
    <w:rsid w:val="00410164"/>
    <w:rsid w:val="0041194A"/>
    <w:rsid w:val="004126B6"/>
    <w:rsid w:val="00412D34"/>
    <w:rsid w:val="00413732"/>
    <w:rsid w:val="00414347"/>
    <w:rsid w:val="004144EA"/>
    <w:rsid w:val="004150A9"/>
    <w:rsid w:val="00416293"/>
    <w:rsid w:val="004170B4"/>
    <w:rsid w:val="004177EB"/>
    <w:rsid w:val="00417AFA"/>
    <w:rsid w:val="00420052"/>
    <w:rsid w:val="004200E3"/>
    <w:rsid w:val="00420ACF"/>
    <w:rsid w:val="00420BAD"/>
    <w:rsid w:val="00424DBB"/>
    <w:rsid w:val="004254B1"/>
    <w:rsid w:val="00427631"/>
    <w:rsid w:val="0043022E"/>
    <w:rsid w:val="004306C9"/>
    <w:rsid w:val="00431268"/>
    <w:rsid w:val="004312C2"/>
    <w:rsid w:val="0043270B"/>
    <w:rsid w:val="00432F90"/>
    <w:rsid w:val="00434BE7"/>
    <w:rsid w:val="0043603B"/>
    <w:rsid w:val="004361FC"/>
    <w:rsid w:val="00436218"/>
    <w:rsid w:val="004364F9"/>
    <w:rsid w:val="004369D5"/>
    <w:rsid w:val="00437F8A"/>
    <w:rsid w:val="00440300"/>
    <w:rsid w:val="004404A5"/>
    <w:rsid w:val="004406FC"/>
    <w:rsid w:val="004409A7"/>
    <w:rsid w:val="00441867"/>
    <w:rsid w:val="00441AA9"/>
    <w:rsid w:val="00442133"/>
    <w:rsid w:val="004422B4"/>
    <w:rsid w:val="00442668"/>
    <w:rsid w:val="00444039"/>
    <w:rsid w:val="00444D5D"/>
    <w:rsid w:val="00445D7B"/>
    <w:rsid w:val="00447A27"/>
    <w:rsid w:val="0045017E"/>
    <w:rsid w:val="004505E8"/>
    <w:rsid w:val="004511AB"/>
    <w:rsid w:val="004513C0"/>
    <w:rsid w:val="00454550"/>
    <w:rsid w:val="00454DD5"/>
    <w:rsid w:val="00454E5C"/>
    <w:rsid w:val="00455124"/>
    <w:rsid w:val="0045538D"/>
    <w:rsid w:val="00456FB7"/>
    <w:rsid w:val="004574F3"/>
    <w:rsid w:val="00457E30"/>
    <w:rsid w:val="004609F8"/>
    <w:rsid w:val="00460B20"/>
    <w:rsid w:val="00460D61"/>
    <w:rsid w:val="00460EA6"/>
    <w:rsid w:val="0046395E"/>
    <w:rsid w:val="00463D95"/>
    <w:rsid w:val="00463E7C"/>
    <w:rsid w:val="0046514A"/>
    <w:rsid w:val="0046565A"/>
    <w:rsid w:val="00467633"/>
    <w:rsid w:val="00470675"/>
    <w:rsid w:val="00470B80"/>
    <w:rsid w:val="004711EA"/>
    <w:rsid w:val="00471C0C"/>
    <w:rsid w:val="00471DE0"/>
    <w:rsid w:val="0047309D"/>
    <w:rsid w:val="004739D3"/>
    <w:rsid w:val="00474639"/>
    <w:rsid w:val="00474F1D"/>
    <w:rsid w:val="004760AC"/>
    <w:rsid w:val="00476DD7"/>
    <w:rsid w:val="00477C14"/>
    <w:rsid w:val="00480159"/>
    <w:rsid w:val="00480399"/>
    <w:rsid w:val="004806D5"/>
    <w:rsid w:val="00480B1D"/>
    <w:rsid w:val="00481847"/>
    <w:rsid w:val="004824B1"/>
    <w:rsid w:val="00483B47"/>
    <w:rsid w:val="00483D9A"/>
    <w:rsid w:val="00485063"/>
    <w:rsid w:val="004853EE"/>
    <w:rsid w:val="00485B32"/>
    <w:rsid w:val="00485D6E"/>
    <w:rsid w:val="0048782D"/>
    <w:rsid w:val="0049225D"/>
    <w:rsid w:val="0049238B"/>
    <w:rsid w:val="0049260E"/>
    <w:rsid w:val="00493CB8"/>
    <w:rsid w:val="00493EF9"/>
    <w:rsid w:val="00493FAC"/>
    <w:rsid w:val="00494A25"/>
    <w:rsid w:val="00494C89"/>
    <w:rsid w:val="00495503"/>
    <w:rsid w:val="004974D5"/>
    <w:rsid w:val="004A19E9"/>
    <w:rsid w:val="004A2B6F"/>
    <w:rsid w:val="004A3299"/>
    <w:rsid w:val="004A3317"/>
    <w:rsid w:val="004A3920"/>
    <w:rsid w:val="004A4620"/>
    <w:rsid w:val="004A52DA"/>
    <w:rsid w:val="004A554B"/>
    <w:rsid w:val="004A5700"/>
    <w:rsid w:val="004A6017"/>
    <w:rsid w:val="004A620E"/>
    <w:rsid w:val="004A672D"/>
    <w:rsid w:val="004B03F2"/>
    <w:rsid w:val="004B2DA5"/>
    <w:rsid w:val="004B4679"/>
    <w:rsid w:val="004B4704"/>
    <w:rsid w:val="004B4745"/>
    <w:rsid w:val="004B6159"/>
    <w:rsid w:val="004B6E15"/>
    <w:rsid w:val="004B79A7"/>
    <w:rsid w:val="004B7AEC"/>
    <w:rsid w:val="004B7F97"/>
    <w:rsid w:val="004C0BF5"/>
    <w:rsid w:val="004C3261"/>
    <w:rsid w:val="004C3634"/>
    <w:rsid w:val="004C5FF7"/>
    <w:rsid w:val="004C67ED"/>
    <w:rsid w:val="004C742B"/>
    <w:rsid w:val="004C7456"/>
    <w:rsid w:val="004C7562"/>
    <w:rsid w:val="004D264F"/>
    <w:rsid w:val="004D422C"/>
    <w:rsid w:val="004E22A1"/>
    <w:rsid w:val="004E283E"/>
    <w:rsid w:val="004E4C1E"/>
    <w:rsid w:val="004E5D4B"/>
    <w:rsid w:val="004E72C7"/>
    <w:rsid w:val="004E7858"/>
    <w:rsid w:val="004F1452"/>
    <w:rsid w:val="004F16A5"/>
    <w:rsid w:val="004F2697"/>
    <w:rsid w:val="004F2B49"/>
    <w:rsid w:val="004F3792"/>
    <w:rsid w:val="004F5188"/>
    <w:rsid w:val="004F7030"/>
    <w:rsid w:val="004F769F"/>
    <w:rsid w:val="0050029F"/>
    <w:rsid w:val="00500452"/>
    <w:rsid w:val="005004E3"/>
    <w:rsid w:val="00500ACD"/>
    <w:rsid w:val="005019A8"/>
    <w:rsid w:val="00501F7C"/>
    <w:rsid w:val="0050280F"/>
    <w:rsid w:val="00502DCA"/>
    <w:rsid w:val="005039CB"/>
    <w:rsid w:val="00503B3D"/>
    <w:rsid w:val="00503DF0"/>
    <w:rsid w:val="0050676D"/>
    <w:rsid w:val="00507D5D"/>
    <w:rsid w:val="00510657"/>
    <w:rsid w:val="00510E2A"/>
    <w:rsid w:val="005114A5"/>
    <w:rsid w:val="00511FA5"/>
    <w:rsid w:val="005133D7"/>
    <w:rsid w:val="00514209"/>
    <w:rsid w:val="00514284"/>
    <w:rsid w:val="00514767"/>
    <w:rsid w:val="00515A7C"/>
    <w:rsid w:val="00515E14"/>
    <w:rsid w:val="005173D4"/>
    <w:rsid w:val="00517E1C"/>
    <w:rsid w:val="00517F02"/>
    <w:rsid w:val="00521756"/>
    <w:rsid w:val="00521ADE"/>
    <w:rsid w:val="0052202A"/>
    <w:rsid w:val="00522319"/>
    <w:rsid w:val="00523752"/>
    <w:rsid w:val="00524D94"/>
    <w:rsid w:val="00525BE5"/>
    <w:rsid w:val="00526159"/>
    <w:rsid w:val="005268F0"/>
    <w:rsid w:val="0052799E"/>
    <w:rsid w:val="00527CEE"/>
    <w:rsid w:val="0053128E"/>
    <w:rsid w:val="005315E6"/>
    <w:rsid w:val="00532A40"/>
    <w:rsid w:val="00532E56"/>
    <w:rsid w:val="005338E0"/>
    <w:rsid w:val="00535108"/>
    <w:rsid w:val="005357FD"/>
    <w:rsid w:val="00535D80"/>
    <w:rsid w:val="00536134"/>
    <w:rsid w:val="005364BC"/>
    <w:rsid w:val="0053680B"/>
    <w:rsid w:val="00536E9E"/>
    <w:rsid w:val="00536F3C"/>
    <w:rsid w:val="00537789"/>
    <w:rsid w:val="005417F7"/>
    <w:rsid w:val="00541DD9"/>
    <w:rsid w:val="00543958"/>
    <w:rsid w:val="0054592F"/>
    <w:rsid w:val="00547477"/>
    <w:rsid w:val="00550D42"/>
    <w:rsid w:val="0055230F"/>
    <w:rsid w:val="00553A14"/>
    <w:rsid w:val="0055453E"/>
    <w:rsid w:val="00555B23"/>
    <w:rsid w:val="00555B3D"/>
    <w:rsid w:val="00556131"/>
    <w:rsid w:val="0055675F"/>
    <w:rsid w:val="005568B1"/>
    <w:rsid w:val="00557CEE"/>
    <w:rsid w:val="00557DC3"/>
    <w:rsid w:val="00557F08"/>
    <w:rsid w:val="005604CD"/>
    <w:rsid w:val="0056075D"/>
    <w:rsid w:val="005609DB"/>
    <w:rsid w:val="00561093"/>
    <w:rsid w:val="0056251A"/>
    <w:rsid w:val="00562D9B"/>
    <w:rsid w:val="005635EA"/>
    <w:rsid w:val="005636BD"/>
    <w:rsid w:val="005639FC"/>
    <w:rsid w:val="00563E23"/>
    <w:rsid w:val="00565830"/>
    <w:rsid w:val="00565DD9"/>
    <w:rsid w:val="005662F3"/>
    <w:rsid w:val="00570794"/>
    <w:rsid w:val="00570C6F"/>
    <w:rsid w:val="00570FDE"/>
    <w:rsid w:val="00574A14"/>
    <w:rsid w:val="00575802"/>
    <w:rsid w:val="00575955"/>
    <w:rsid w:val="005760EB"/>
    <w:rsid w:val="00577479"/>
    <w:rsid w:val="00577E41"/>
    <w:rsid w:val="00580346"/>
    <w:rsid w:val="0058080E"/>
    <w:rsid w:val="005819BF"/>
    <w:rsid w:val="00582BC2"/>
    <w:rsid w:val="00583966"/>
    <w:rsid w:val="005839D2"/>
    <w:rsid w:val="00583BE8"/>
    <w:rsid w:val="00585AF0"/>
    <w:rsid w:val="00586DED"/>
    <w:rsid w:val="00587414"/>
    <w:rsid w:val="0058771C"/>
    <w:rsid w:val="00587E69"/>
    <w:rsid w:val="0059004B"/>
    <w:rsid w:val="005900A3"/>
    <w:rsid w:val="00590B40"/>
    <w:rsid w:val="00591106"/>
    <w:rsid w:val="00591E6E"/>
    <w:rsid w:val="0059305A"/>
    <w:rsid w:val="00593E3A"/>
    <w:rsid w:val="00594A8A"/>
    <w:rsid w:val="00594C64"/>
    <w:rsid w:val="005973CB"/>
    <w:rsid w:val="0059752C"/>
    <w:rsid w:val="005A0DF3"/>
    <w:rsid w:val="005A0FFF"/>
    <w:rsid w:val="005A2069"/>
    <w:rsid w:val="005A346A"/>
    <w:rsid w:val="005A3E4E"/>
    <w:rsid w:val="005A4F03"/>
    <w:rsid w:val="005A6D80"/>
    <w:rsid w:val="005A715C"/>
    <w:rsid w:val="005A7F37"/>
    <w:rsid w:val="005A7F9F"/>
    <w:rsid w:val="005B0B30"/>
    <w:rsid w:val="005B1142"/>
    <w:rsid w:val="005B1332"/>
    <w:rsid w:val="005B2B62"/>
    <w:rsid w:val="005B3BB9"/>
    <w:rsid w:val="005B4FCD"/>
    <w:rsid w:val="005B7B31"/>
    <w:rsid w:val="005C00B2"/>
    <w:rsid w:val="005C00FF"/>
    <w:rsid w:val="005C0A0E"/>
    <w:rsid w:val="005C2627"/>
    <w:rsid w:val="005C2A1F"/>
    <w:rsid w:val="005C2F65"/>
    <w:rsid w:val="005C353E"/>
    <w:rsid w:val="005C6876"/>
    <w:rsid w:val="005C6F88"/>
    <w:rsid w:val="005C7022"/>
    <w:rsid w:val="005C7116"/>
    <w:rsid w:val="005C7526"/>
    <w:rsid w:val="005C7791"/>
    <w:rsid w:val="005D0E26"/>
    <w:rsid w:val="005D174D"/>
    <w:rsid w:val="005D1C83"/>
    <w:rsid w:val="005D1CA3"/>
    <w:rsid w:val="005D2BA5"/>
    <w:rsid w:val="005D300D"/>
    <w:rsid w:val="005D4D9C"/>
    <w:rsid w:val="005D6159"/>
    <w:rsid w:val="005D7004"/>
    <w:rsid w:val="005D716F"/>
    <w:rsid w:val="005D7BBF"/>
    <w:rsid w:val="005E08A0"/>
    <w:rsid w:val="005E0D76"/>
    <w:rsid w:val="005E10E5"/>
    <w:rsid w:val="005E1518"/>
    <w:rsid w:val="005E38FE"/>
    <w:rsid w:val="005E457D"/>
    <w:rsid w:val="005E4C3E"/>
    <w:rsid w:val="005E6DF1"/>
    <w:rsid w:val="005E7E1C"/>
    <w:rsid w:val="005F0ACB"/>
    <w:rsid w:val="005F11C2"/>
    <w:rsid w:val="005F3020"/>
    <w:rsid w:val="005F5247"/>
    <w:rsid w:val="005F6488"/>
    <w:rsid w:val="005F6918"/>
    <w:rsid w:val="005F6B32"/>
    <w:rsid w:val="00600461"/>
    <w:rsid w:val="006009C3"/>
    <w:rsid w:val="00601238"/>
    <w:rsid w:val="00601ABE"/>
    <w:rsid w:val="006033CB"/>
    <w:rsid w:val="00603905"/>
    <w:rsid w:val="00603EE1"/>
    <w:rsid w:val="006060E4"/>
    <w:rsid w:val="0060614B"/>
    <w:rsid w:val="006077ED"/>
    <w:rsid w:val="006107B0"/>
    <w:rsid w:val="00610DAC"/>
    <w:rsid w:val="00612339"/>
    <w:rsid w:val="00612DC3"/>
    <w:rsid w:val="00613685"/>
    <w:rsid w:val="00614550"/>
    <w:rsid w:val="00616A5D"/>
    <w:rsid w:val="00617900"/>
    <w:rsid w:val="00617B5E"/>
    <w:rsid w:val="0062041D"/>
    <w:rsid w:val="006207D3"/>
    <w:rsid w:val="00620B47"/>
    <w:rsid w:val="00621CE4"/>
    <w:rsid w:val="006224DC"/>
    <w:rsid w:val="00623498"/>
    <w:rsid w:val="006248AD"/>
    <w:rsid w:val="00624FE2"/>
    <w:rsid w:val="00625B5D"/>
    <w:rsid w:val="00626079"/>
    <w:rsid w:val="0062613C"/>
    <w:rsid w:val="00626856"/>
    <w:rsid w:val="006268AA"/>
    <w:rsid w:val="00626C80"/>
    <w:rsid w:val="00627C2E"/>
    <w:rsid w:val="0063038C"/>
    <w:rsid w:val="00630E3B"/>
    <w:rsid w:val="00632455"/>
    <w:rsid w:val="00635CA2"/>
    <w:rsid w:val="00636CF2"/>
    <w:rsid w:val="00637446"/>
    <w:rsid w:val="00640A1C"/>
    <w:rsid w:val="006414E5"/>
    <w:rsid w:val="006418DF"/>
    <w:rsid w:val="00645493"/>
    <w:rsid w:val="00645712"/>
    <w:rsid w:val="00650963"/>
    <w:rsid w:val="006513A2"/>
    <w:rsid w:val="00651ED0"/>
    <w:rsid w:val="00653143"/>
    <w:rsid w:val="00653313"/>
    <w:rsid w:val="006533CF"/>
    <w:rsid w:val="00654DFF"/>
    <w:rsid w:val="00656490"/>
    <w:rsid w:val="00657954"/>
    <w:rsid w:val="0066091F"/>
    <w:rsid w:val="00660A9F"/>
    <w:rsid w:val="006624A1"/>
    <w:rsid w:val="006628E6"/>
    <w:rsid w:val="00663062"/>
    <w:rsid w:val="00663256"/>
    <w:rsid w:val="00663349"/>
    <w:rsid w:val="006647F4"/>
    <w:rsid w:val="00664A0D"/>
    <w:rsid w:val="006650E4"/>
    <w:rsid w:val="0066552C"/>
    <w:rsid w:val="00665D95"/>
    <w:rsid w:val="00667AFE"/>
    <w:rsid w:val="006701B5"/>
    <w:rsid w:val="0067110D"/>
    <w:rsid w:val="00671CF5"/>
    <w:rsid w:val="0067233F"/>
    <w:rsid w:val="006727B3"/>
    <w:rsid w:val="006736A5"/>
    <w:rsid w:val="00674C25"/>
    <w:rsid w:val="00675121"/>
    <w:rsid w:val="00675D22"/>
    <w:rsid w:val="00676215"/>
    <w:rsid w:val="006806D8"/>
    <w:rsid w:val="006816B1"/>
    <w:rsid w:val="00682463"/>
    <w:rsid w:val="006826B5"/>
    <w:rsid w:val="00682DCA"/>
    <w:rsid w:val="00683A9A"/>
    <w:rsid w:val="00683CAF"/>
    <w:rsid w:val="00686267"/>
    <w:rsid w:val="0068679F"/>
    <w:rsid w:val="00687543"/>
    <w:rsid w:val="00687857"/>
    <w:rsid w:val="006914AE"/>
    <w:rsid w:val="00692634"/>
    <w:rsid w:val="00692E65"/>
    <w:rsid w:val="006930C5"/>
    <w:rsid w:val="0069463F"/>
    <w:rsid w:val="006961D9"/>
    <w:rsid w:val="006A1514"/>
    <w:rsid w:val="006A25DC"/>
    <w:rsid w:val="006A318A"/>
    <w:rsid w:val="006A4E4C"/>
    <w:rsid w:val="006A59FB"/>
    <w:rsid w:val="006A5F84"/>
    <w:rsid w:val="006A5FA8"/>
    <w:rsid w:val="006A6489"/>
    <w:rsid w:val="006A6E3A"/>
    <w:rsid w:val="006A7C27"/>
    <w:rsid w:val="006B0BD3"/>
    <w:rsid w:val="006B0EE5"/>
    <w:rsid w:val="006B387D"/>
    <w:rsid w:val="006B3EB1"/>
    <w:rsid w:val="006B4A35"/>
    <w:rsid w:val="006B54EC"/>
    <w:rsid w:val="006B64BF"/>
    <w:rsid w:val="006B6674"/>
    <w:rsid w:val="006B730E"/>
    <w:rsid w:val="006C0011"/>
    <w:rsid w:val="006C108D"/>
    <w:rsid w:val="006C15BB"/>
    <w:rsid w:val="006C23B3"/>
    <w:rsid w:val="006C3FE0"/>
    <w:rsid w:val="006C4726"/>
    <w:rsid w:val="006C4833"/>
    <w:rsid w:val="006C5DBE"/>
    <w:rsid w:val="006C6EF1"/>
    <w:rsid w:val="006D2E8D"/>
    <w:rsid w:val="006D375E"/>
    <w:rsid w:val="006D393D"/>
    <w:rsid w:val="006D45D2"/>
    <w:rsid w:val="006D521E"/>
    <w:rsid w:val="006D5357"/>
    <w:rsid w:val="006D5956"/>
    <w:rsid w:val="006D5F50"/>
    <w:rsid w:val="006D61BF"/>
    <w:rsid w:val="006D6239"/>
    <w:rsid w:val="006D7E5C"/>
    <w:rsid w:val="006E0070"/>
    <w:rsid w:val="006E0155"/>
    <w:rsid w:val="006E07C1"/>
    <w:rsid w:val="006E0C59"/>
    <w:rsid w:val="006E0DDD"/>
    <w:rsid w:val="006E17D0"/>
    <w:rsid w:val="006E2214"/>
    <w:rsid w:val="006E2EBC"/>
    <w:rsid w:val="006E4CC7"/>
    <w:rsid w:val="006E516C"/>
    <w:rsid w:val="006F073C"/>
    <w:rsid w:val="006F0E90"/>
    <w:rsid w:val="006F1496"/>
    <w:rsid w:val="006F17C6"/>
    <w:rsid w:val="006F2D05"/>
    <w:rsid w:val="006F3226"/>
    <w:rsid w:val="006F350F"/>
    <w:rsid w:val="006F455C"/>
    <w:rsid w:val="006F5BF6"/>
    <w:rsid w:val="006F5E20"/>
    <w:rsid w:val="006F6119"/>
    <w:rsid w:val="006F6592"/>
    <w:rsid w:val="006F6D2C"/>
    <w:rsid w:val="006F7099"/>
    <w:rsid w:val="007010CC"/>
    <w:rsid w:val="007013FF"/>
    <w:rsid w:val="00703015"/>
    <w:rsid w:val="00703CB2"/>
    <w:rsid w:val="007040BF"/>
    <w:rsid w:val="007045E6"/>
    <w:rsid w:val="00704D6C"/>
    <w:rsid w:val="007050E6"/>
    <w:rsid w:val="007051F0"/>
    <w:rsid w:val="00710AE7"/>
    <w:rsid w:val="00711849"/>
    <w:rsid w:val="007122CE"/>
    <w:rsid w:val="00712B58"/>
    <w:rsid w:val="00712E09"/>
    <w:rsid w:val="0071348C"/>
    <w:rsid w:val="00713A07"/>
    <w:rsid w:val="00713E23"/>
    <w:rsid w:val="00714319"/>
    <w:rsid w:val="00714E9A"/>
    <w:rsid w:val="00715A40"/>
    <w:rsid w:val="00715BA6"/>
    <w:rsid w:val="007178A9"/>
    <w:rsid w:val="007202B7"/>
    <w:rsid w:val="007213DB"/>
    <w:rsid w:val="0072185E"/>
    <w:rsid w:val="00721D3A"/>
    <w:rsid w:val="00723825"/>
    <w:rsid w:val="007240DB"/>
    <w:rsid w:val="00724770"/>
    <w:rsid w:val="00725837"/>
    <w:rsid w:val="007266D4"/>
    <w:rsid w:val="00727380"/>
    <w:rsid w:val="00730045"/>
    <w:rsid w:val="00730070"/>
    <w:rsid w:val="00730B0C"/>
    <w:rsid w:val="007315E5"/>
    <w:rsid w:val="00732B7B"/>
    <w:rsid w:val="0073493A"/>
    <w:rsid w:val="0073648C"/>
    <w:rsid w:val="007368EA"/>
    <w:rsid w:val="007374DC"/>
    <w:rsid w:val="00737BA8"/>
    <w:rsid w:val="00737C02"/>
    <w:rsid w:val="00740012"/>
    <w:rsid w:val="0074026C"/>
    <w:rsid w:val="00740367"/>
    <w:rsid w:val="0074135B"/>
    <w:rsid w:val="00747834"/>
    <w:rsid w:val="0075024D"/>
    <w:rsid w:val="0075147A"/>
    <w:rsid w:val="0075200B"/>
    <w:rsid w:val="0075244E"/>
    <w:rsid w:val="00753077"/>
    <w:rsid w:val="00753EA9"/>
    <w:rsid w:val="00754609"/>
    <w:rsid w:val="0075473D"/>
    <w:rsid w:val="00754B7A"/>
    <w:rsid w:val="007560AE"/>
    <w:rsid w:val="00756F28"/>
    <w:rsid w:val="007573FE"/>
    <w:rsid w:val="0075771B"/>
    <w:rsid w:val="0076089D"/>
    <w:rsid w:val="00760C60"/>
    <w:rsid w:val="00762656"/>
    <w:rsid w:val="00763AD0"/>
    <w:rsid w:val="00763CFD"/>
    <w:rsid w:val="00763FDB"/>
    <w:rsid w:val="00764F0D"/>
    <w:rsid w:val="00766227"/>
    <w:rsid w:val="007664AF"/>
    <w:rsid w:val="007669C3"/>
    <w:rsid w:val="00766CA2"/>
    <w:rsid w:val="007675DE"/>
    <w:rsid w:val="00767D72"/>
    <w:rsid w:val="00772A9A"/>
    <w:rsid w:val="00772CF2"/>
    <w:rsid w:val="00772F8D"/>
    <w:rsid w:val="007732E1"/>
    <w:rsid w:val="0077455F"/>
    <w:rsid w:val="00774FEC"/>
    <w:rsid w:val="007760D1"/>
    <w:rsid w:val="00777D2B"/>
    <w:rsid w:val="0078149A"/>
    <w:rsid w:val="00782B5E"/>
    <w:rsid w:val="007833E5"/>
    <w:rsid w:val="007845EA"/>
    <w:rsid w:val="0078780C"/>
    <w:rsid w:val="00790523"/>
    <w:rsid w:val="0079057F"/>
    <w:rsid w:val="00791121"/>
    <w:rsid w:val="007915FD"/>
    <w:rsid w:val="00792028"/>
    <w:rsid w:val="00792393"/>
    <w:rsid w:val="007935C3"/>
    <w:rsid w:val="00793C43"/>
    <w:rsid w:val="007946C6"/>
    <w:rsid w:val="007A1CFA"/>
    <w:rsid w:val="007A1F1A"/>
    <w:rsid w:val="007A2338"/>
    <w:rsid w:val="007A3373"/>
    <w:rsid w:val="007A4321"/>
    <w:rsid w:val="007A4C2D"/>
    <w:rsid w:val="007A65E2"/>
    <w:rsid w:val="007A7F34"/>
    <w:rsid w:val="007B1C2B"/>
    <w:rsid w:val="007B1EBA"/>
    <w:rsid w:val="007B22DA"/>
    <w:rsid w:val="007B4115"/>
    <w:rsid w:val="007B47ED"/>
    <w:rsid w:val="007B5894"/>
    <w:rsid w:val="007B6C00"/>
    <w:rsid w:val="007B7000"/>
    <w:rsid w:val="007C1B39"/>
    <w:rsid w:val="007C1E90"/>
    <w:rsid w:val="007C27BA"/>
    <w:rsid w:val="007C333F"/>
    <w:rsid w:val="007C381F"/>
    <w:rsid w:val="007C4E46"/>
    <w:rsid w:val="007C5AA3"/>
    <w:rsid w:val="007C6A40"/>
    <w:rsid w:val="007C72CB"/>
    <w:rsid w:val="007C753F"/>
    <w:rsid w:val="007C78FF"/>
    <w:rsid w:val="007D0063"/>
    <w:rsid w:val="007D197D"/>
    <w:rsid w:val="007D2938"/>
    <w:rsid w:val="007D2A26"/>
    <w:rsid w:val="007D37E5"/>
    <w:rsid w:val="007D62F8"/>
    <w:rsid w:val="007D65BC"/>
    <w:rsid w:val="007D65E9"/>
    <w:rsid w:val="007D67D2"/>
    <w:rsid w:val="007D73AC"/>
    <w:rsid w:val="007E04C7"/>
    <w:rsid w:val="007E1371"/>
    <w:rsid w:val="007E19C1"/>
    <w:rsid w:val="007E2407"/>
    <w:rsid w:val="007E3DA8"/>
    <w:rsid w:val="007E4A38"/>
    <w:rsid w:val="007E4D1B"/>
    <w:rsid w:val="007E5AB0"/>
    <w:rsid w:val="007E5C9E"/>
    <w:rsid w:val="007E6978"/>
    <w:rsid w:val="007E7078"/>
    <w:rsid w:val="007E7CBE"/>
    <w:rsid w:val="007F0573"/>
    <w:rsid w:val="007F07CD"/>
    <w:rsid w:val="007F0C00"/>
    <w:rsid w:val="007F2C02"/>
    <w:rsid w:val="007F47CC"/>
    <w:rsid w:val="007F7235"/>
    <w:rsid w:val="00800528"/>
    <w:rsid w:val="00800876"/>
    <w:rsid w:val="00800F71"/>
    <w:rsid w:val="00801214"/>
    <w:rsid w:val="008020FA"/>
    <w:rsid w:val="00802CEE"/>
    <w:rsid w:val="00802F3D"/>
    <w:rsid w:val="008034D5"/>
    <w:rsid w:val="00804310"/>
    <w:rsid w:val="00804908"/>
    <w:rsid w:val="00804DF6"/>
    <w:rsid w:val="008068B0"/>
    <w:rsid w:val="00806C4D"/>
    <w:rsid w:val="00806CC2"/>
    <w:rsid w:val="00810977"/>
    <w:rsid w:val="00810E82"/>
    <w:rsid w:val="008117D2"/>
    <w:rsid w:val="00813B22"/>
    <w:rsid w:val="00813ECD"/>
    <w:rsid w:val="00814355"/>
    <w:rsid w:val="008148AD"/>
    <w:rsid w:val="008154F7"/>
    <w:rsid w:val="008157A2"/>
    <w:rsid w:val="008161F7"/>
    <w:rsid w:val="00816360"/>
    <w:rsid w:val="008170F2"/>
    <w:rsid w:val="00817E66"/>
    <w:rsid w:val="00817F11"/>
    <w:rsid w:val="00820FEB"/>
    <w:rsid w:val="008217AB"/>
    <w:rsid w:val="00822455"/>
    <w:rsid w:val="00822C35"/>
    <w:rsid w:val="008243DA"/>
    <w:rsid w:val="0082504D"/>
    <w:rsid w:val="00825673"/>
    <w:rsid w:val="00825A73"/>
    <w:rsid w:val="00825CEC"/>
    <w:rsid w:val="0083086E"/>
    <w:rsid w:val="00831A12"/>
    <w:rsid w:val="00832705"/>
    <w:rsid w:val="00832CC7"/>
    <w:rsid w:val="00834321"/>
    <w:rsid w:val="00834A99"/>
    <w:rsid w:val="00834BDF"/>
    <w:rsid w:val="0083500F"/>
    <w:rsid w:val="00835440"/>
    <w:rsid w:val="00835643"/>
    <w:rsid w:val="00836E17"/>
    <w:rsid w:val="00837020"/>
    <w:rsid w:val="00841B12"/>
    <w:rsid w:val="008428D9"/>
    <w:rsid w:val="008457CE"/>
    <w:rsid w:val="00845FC0"/>
    <w:rsid w:val="008475E8"/>
    <w:rsid w:val="008501DB"/>
    <w:rsid w:val="008528B7"/>
    <w:rsid w:val="008534E6"/>
    <w:rsid w:val="00854A84"/>
    <w:rsid w:val="0085538F"/>
    <w:rsid w:val="008571CF"/>
    <w:rsid w:val="0086085B"/>
    <w:rsid w:val="00862ED8"/>
    <w:rsid w:val="0086358A"/>
    <w:rsid w:val="0086366D"/>
    <w:rsid w:val="00864072"/>
    <w:rsid w:val="00864136"/>
    <w:rsid w:val="008658FE"/>
    <w:rsid w:val="008660DD"/>
    <w:rsid w:val="00867271"/>
    <w:rsid w:val="0086770F"/>
    <w:rsid w:val="00867D1D"/>
    <w:rsid w:val="00870ADD"/>
    <w:rsid w:val="00876086"/>
    <w:rsid w:val="00876C33"/>
    <w:rsid w:val="00877C68"/>
    <w:rsid w:val="00880B29"/>
    <w:rsid w:val="0088335F"/>
    <w:rsid w:val="0088337C"/>
    <w:rsid w:val="0088395C"/>
    <w:rsid w:val="0088443D"/>
    <w:rsid w:val="00886C41"/>
    <w:rsid w:val="0088762B"/>
    <w:rsid w:val="0089010A"/>
    <w:rsid w:val="008916D1"/>
    <w:rsid w:val="00892012"/>
    <w:rsid w:val="008927D6"/>
    <w:rsid w:val="008959CE"/>
    <w:rsid w:val="00896E39"/>
    <w:rsid w:val="00897AC2"/>
    <w:rsid w:val="008A02BC"/>
    <w:rsid w:val="008A0C79"/>
    <w:rsid w:val="008A0CA9"/>
    <w:rsid w:val="008A1415"/>
    <w:rsid w:val="008A2918"/>
    <w:rsid w:val="008A3329"/>
    <w:rsid w:val="008A3B5D"/>
    <w:rsid w:val="008A6DAA"/>
    <w:rsid w:val="008A787D"/>
    <w:rsid w:val="008B1F97"/>
    <w:rsid w:val="008B280C"/>
    <w:rsid w:val="008B30CE"/>
    <w:rsid w:val="008B41E9"/>
    <w:rsid w:val="008B47EC"/>
    <w:rsid w:val="008B5FCD"/>
    <w:rsid w:val="008C10CC"/>
    <w:rsid w:val="008C10CF"/>
    <w:rsid w:val="008C290B"/>
    <w:rsid w:val="008C2D01"/>
    <w:rsid w:val="008C399E"/>
    <w:rsid w:val="008C3BBB"/>
    <w:rsid w:val="008C404B"/>
    <w:rsid w:val="008C59AC"/>
    <w:rsid w:val="008C5C0F"/>
    <w:rsid w:val="008C7BC7"/>
    <w:rsid w:val="008D0F20"/>
    <w:rsid w:val="008D1A95"/>
    <w:rsid w:val="008D260F"/>
    <w:rsid w:val="008D2FE3"/>
    <w:rsid w:val="008D3C3F"/>
    <w:rsid w:val="008D49CC"/>
    <w:rsid w:val="008D5DFF"/>
    <w:rsid w:val="008D6F45"/>
    <w:rsid w:val="008D78D9"/>
    <w:rsid w:val="008D7EB9"/>
    <w:rsid w:val="008D7F88"/>
    <w:rsid w:val="008E09EA"/>
    <w:rsid w:val="008E0AC2"/>
    <w:rsid w:val="008E1A50"/>
    <w:rsid w:val="008E265F"/>
    <w:rsid w:val="008E31AE"/>
    <w:rsid w:val="008E55F0"/>
    <w:rsid w:val="008E57D2"/>
    <w:rsid w:val="008E5E77"/>
    <w:rsid w:val="008E628C"/>
    <w:rsid w:val="008E7064"/>
    <w:rsid w:val="008E70B3"/>
    <w:rsid w:val="008F004E"/>
    <w:rsid w:val="008F0AF9"/>
    <w:rsid w:val="008F13AB"/>
    <w:rsid w:val="008F187D"/>
    <w:rsid w:val="008F1E84"/>
    <w:rsid w:val="008F2747"/>
    <w:rsid w:val="008F36F7"/>
    <w:rsid w:val="008F5142"/>
    <w:rsid w:val="008F5162"/>
    <w:rsid w:val="008F703E"/>
    <w:rsid w:val="008F7D09"/>
    <w:rsid w:val="0090119F"/>
    <w:rsid w:val="00901447"/>
    <w:rsid w:val="00902036"/>
    <w:rsid w:val="00902FEE"/>
    <w:rsid w:val="00903810"/>
    <w:rsid w:val="00903E89"/>
    <w:rsid w:val="009042E7"/>
    <w:rsid w:val="00905987"/>
    <w:rsid w:val="00907306"/>
    <w:rsid w:val="00910E43"/>
    <w:rsid w:val="00911A6A"/>
    <w:rsid w:val="00912E3A"/>
    <w:rsid w:val="00913063"/>
    <w:rsid w:val="00913AA6"/>
    <w:rsid w:val="00914109"/>
    <w:rsid w:val="0091477C"/>
    <w:rsid w:val="00914935"/>
    <w:rsid w:val="00914B8D"/>
    <w:rsid w:val="00914D4E"/>
    <w:rsid w:val="00915D90"/>
    <w:rsid w:val="00916230"/>
    <w:rsid w:val="00916CAD"/>
    <w:rsid w:val="00917303"/>
    <w:rsid w:val="009177A2"/>
    <w:rsid w:val="00917987"/>
    <w:rsid w:val="00920197"/>
    <w:rsid w:val="00923038"/>
    <w:rsid w:val="00923288"/>
    <w:rsid w:val="00924636"/>
    <w:rsid w:val="00924B04"/>
    <w:rsid w:val="00925458"/>
    <w:rsid w:val="009256FE"/>
    <w:rsid w:val="00926589"/>
    <w:rsid w:val="00927947"/>
    <w:rsid w:val="009308B3"/>
    <w:rsid w:val="00931B18"/>
    <w:rsid w:val="00931B3B"/>
    <w:rsid w:val="009320A3"/>
    <w:rsid w:val="00933BC5"/>
    <w:rsid w:val="00933E84"/>
    <w:rsid w:val="00934138"/>
    <w:rsid w:val="00934CD7"/>
    <w:rsid w:val="00934FFA"/>
    <w:rsid w:val="00935C51"/>
    <w:rsid w:val="00936939"/>
    <w:rsid w:val="009372C7"/>
    <w:rsid w:val="00937527"/>
    <w:rsid w:val="009408A6"/>
    <w:rsid w:val="00940CDE"/>
    <w:rsid w:val="00942C1A"/>
    <w:rsid w:val="00942FB5"/>
    <w:rsid w:val="00944778"/>
    <w:rsid w:val="0094750A"/>
    <w:rsid w:val="0094764D"/>
    <w:rsid w:val="00947797"/>
    <w:rsid w:val="00947DF5"/>
    <w:rsid w:val="00951D09"/>
    <w:rsid w:val="009520F9"/>
    <w:rsid w:val="00952869"/>
    <w:rsid w:val="00954653"/>
    <w:rsid w:val="00955B83"/>
    <w:rsid w:val="00955F21"/>
    <w:rsid w:val="009576E1"/>
    <w:rsid w:val="009615E7"/>
    <w:rsid w:val="009632AD"/>
    <w:rsid w:val="00963F2B"/>
    <w:rsid w:val="00964EC5"/>
    <w:rsid w:val="00965F8A"/>
    <w:rsid w:val="00966BAF"/>
    <w:rsid w:val="009672F1"/>
    <w:rsid w:val="0096739D"/>
    <w:rsid w:val="00970ECD"/>
    <w:rsid w:val="00971AA5"/>
    <w:rsid w:val="00971DF5"/>
    <w:rsid w:val="009730F5"/>
    <w:rsid w:val="00973E90"/>
    <w:rsid w:val="009740EE"/>
    <w:rsid w:val="009742D0"/>
    <w:rsid w:val="009744FA"/>
    <w:rsid w:val="009758F0"/>
    <w:rsid w:val="00977569"/>
    <w:rsid w:val="00977A15"/>
    <w:rsid w:val="00981010"/>
    <w:rsid w:val="00981614"/>
    <w:rsid w:val="00981EA0"/>
    <w:rsid w:val="00982718"/>
    <w:rsid w:val="00983131"/>
    <w:rsid w:val="009832C8"/>
    <w:rsid w:val="00984529"/>
    <w:rsid w:val="00985725"/>
    <w:rsid w:val="00985C73"/>
    <w:rsid w:val="009863E8"/>
    <w:rsid w:val="00986ED6"/>
    <w:rsid w:val="00986F01"/>
    <w:rsid w:val="00987E80"/>
    <w:rsid w:val="00990DBD"/>
    <w:rsid w:val="00991518"/>
    <w:rsid w:val="00991E53"/>
    <w:rsid w:val="009923D9"/>
    <w:rsid w:val="0099269C"/>
    <w:rsid w:val="0099290A"/>
    <w:rsid w:val="00992B82"/>
    <w:rsid w:val="009934F8"/>
    <w:rsid w:val="00993A22"/>
    <w:rsid w:val="00993B65"/>
    <w:rsid w:val="0099435D"/>
    <w:rsid w:val="00994CF7"/>
    <w:rsid w:val="00997151"/>
    <w:rsid w:val="00997A8C"/>
    <w:rsid w:val="009A03AA"/>
    <w:rsid w:val="009A0603"/>
    <w:rsid w:val="009A2E93"/>
    <w:rsid w:val="009A2FB3"/>
    <w:rsid w:val="009A317A"/>
    <w:rsid w:val="009A406C"/>
    <w:rsid w:val="009A460B"/>
    <w:rsid w:val="009A4EA0"/>
    <w:rsid w:val="009A53A9"/>
    <w:rsid w:val="009A5469"/>
    <w:rsid w:val="009A5FE5"/>
    <w:rsid w:val="009A6B2E"/>
    <w:rsid w:val="009A7977"/>
    <w:rsid w:val="009A79B4"/>
    <w:rsid w:val="009B038F"/>
    <w:rsid w:val="009B0708"/>
    <w:rsid w:val="009B12E9"/>
    <w:rsid w:val="009B285A"/>
    <w:rsid w:val="009B2B5D"/>
    <w:rsid w:val="009B3F3A"/>
    <w:rsid w:val="009B43FF"/>
    <w:rsid w:val="009B4B6D"/>
    <w:rsid w:val="009B4C0C"/>
    <w:rsid w:val="009B629E"/>
    <w:rsid w:val="009B6346"/>
    <w:rsid w:val="009B6B3A"/>
    <w:rsid w:val="009C194C"/>
    <w:rsid w:val="009C31E6"/>
    <w:rsid w:val="009C3B0D"/>
    <w:rsid w:val="009C59A6"/>
    <w:rsid w:val="009C5A19"/>
    <w:rsid w:val="009D16A6"/>
    <w:rsid w:val="009D1C71"/>
    <w:rsid w:val="009D1E43"/>
    <w:rsid w:val="009D37FB"/>
    <w:rsid w:val="009D3C95"/>
    <w:rsid w:val="009D3FD1"/>
    <w:rsid w:val="009D44FF"/>
    <w:rsid w:val="009D5246"/>
    <w:rsid w:val="009D533C"/>
    <w:rsid w:val="009D5340"/>
    <w:rsid w:val="009D6D32"/>
    <w:rsid w:val="009D75F0"/>
    <w:rsid w:val="009E13EC"/>
    <w:rsid w:val="009E172D"/>
    <w:rsid w:val="009E193A"/>
    <w:rsid w:val="009E1C75"/>
    <w:rsid w:val="009E2630"/>
    <w:rsid w:val="009E4230"/>
    <w:rsid w:val="009E5E26"/>
    <w:rsid w:val="009E6CAF"/>
    <w:rsid w:val="009E6FE8"/>
    <w:rsid w:val="009E7577"/>
    <w:rsid w:val="009E77B6"/>
    <w:rsid w:val="009E7877"/>
    <w:rsid w:val="009E7AF1"/>
    <w:rsid w:val="009E7CE3"/>
    <w:rsid w:val="009F05CF"/>
    <w:rsid w:val="009F2E47"/>
    <w:rsid w:val="009F4ADB"/>
    <w:rsid w:val="009F4CDD"/>
    <w:rsid w:val="009F504F"/>
    <w:rsid w:val="009F5A43"/>
    <w:rsid w:val="009F6AB2"/>
    <w:rsid w:val="009F6C10"/>
    <w:rsid w:val="009F6E7C"/>
    <w:rsid w:val="009F7675"/>
    <w:rsid w:val="009F784E"/>
    <w:rsid w:val="009F7AEB"/>
    <w:rsid w:val="00A039DC"/>
    <w:rsid w:val="00A06A12"/>
    <w:rsid w:val="00A07240"/>
    <w:rsid w:val="00A07559"/>
    <w:rsid w:val="00A1091C"/>
    <w:rsid w:val="00A111BF"/>
    <w:rsid w:val="00A11344"/>
    <w:rsid w:val="00A11A58"/>
    <w:rsid w:val="00A12605"/>
    <w:rsid w:val="00A128B5"/>
    <w:rsid w:val="00A12CCB"/>
    <w:rsid w:val="00A13A5F"/>
    <w:rsid w:val="00A152EE"/>
    <w:rsid w:val="00A16290"/>
    <w:rsid w:val="00A1779F"/>
    <w:rsid w:val="00A17CF1"/>
    <w:rsid w:val="00A17FE7"/>
    <w:rsid w:val="00A20993"/>
    <w:rsid w:val="00A21515"/>
    <w:rsid w:val="00A22053"/>
    <w:rsid w:val="00A22ADA"/>
    <w:rsid w:val="00A22BEB"/>
    <w:rsid w:val="00A248FA"/>
    <w:rsid w:val="00A27CFF"/>
    <w:rsid w:val="00A30690"/>
    <w:rsid w:val="00A31B26"/>
    <w:rsid w:val="00A32107"/>
    <w:rsid w:val="00A32E10"/>
    <w:rsid w:val="00A33B89"/>
    <w:rsid w:val="00A347E5"/>
    <w:rsid w:val="00A350D7"/>
    <w:rsid w:val="00A3601C"/>
    <w:rsid w:val="00A3633E"/>
    <w:rsid w:val="00A404BA"/>
    <w:rsid w:val="00A41271"/>
    <w:rsid w:val="00A41DB2"/>
    <w:rsid w:val="00A41E38"/>
    <w:rsid w:val="00A4432E"/>
    <w:rsid w:val="00A4497F"/>
    <w:rsid w:val="00A44CC6"/>
    <w:rsid w:val="00A460EF"/>
    <w:rsid w:val="00A46854"/>
    <w:rsid w:val="00A46D54"/>
    <w:rsid w:val="00A478FD"/>
    <w:rsid w:val="00A50712"/>
    <w:rsid w:val="00A50C76"/>
    <w:rsid w:val="00A51C1A"/>
    <w:rsid w:val="00A521A2"/>
    <w:rsid w:val="00A52562"/>
    <w:rsid w:val="00A533DC"/>
    <w:rsid w:val="00A53F56"/>
    <w:rsid w:val="00A54D75"/>
    <w:rsid w:val="00A54DCB"/>
    <w:rsid w:val="00A55376"/>
    <w:rsid w:val="00A608E2"/>
    <w:rsid w:val="00A60E77"/>
    <w:rsid w:val="00A61523"/>
    <w:rsid w:val="00A618FB"/>
    <w:rsid w:val="00A62991"/>
    <w:rsid w:val="00A63449"/>
    <w:rsid w:val="00A63799"/>
    <w:rsid w:val="00A63936"/>
    <w:rsid w:val="00A63DCA"/>
    <w:rsid w:val="00A63F24"/>
    <w:rsid w:val="00A649B0"/>
    <w:rsid w:val="00A6512F"/>
    <w:rsid w:val="00A664A7"/>
    <w:rsid w:val="00A66828"/>
    <w:rsid w:val="00A67CB0"/>
    <w:rsid w:val="00A710BF"/>
    <w:rsid w:val="00A712A8"/>
    <w:rsid w:val="00A714F0"/>
    <w:rsid w:val="00A72ACE"/>
    <w:rsid w:val="00A730B5"/>
    <w:rsid w:val="00A744DC"/>
    <w:rsid w:val="00A756BC"/>
    <w:rsid w:val="00A76C64"/>
    <w:rsid w:val="00A77BD4"/>
    <w:rsid w:val="00A8098E"/>
    <w:rsid w:val="00A812E5"/>
    <w:rsid w:val="00A82307"/>
    <w:rsid w:val="00A82AD9"/>
    <w:rsid w:val="00A85ABF"/>
    <w:rsid w:val="00A85DC6"/>
    <w:rsid w:val="00A8615B"/>
    <w:rsid w:val="00A870D5"/>
    <w:rsid w:val="00A92EE5"/>
    <w:rsid w:val="00A930B6"/>
    <w:rsid w:val="00A951DA"/>
    <w:rsid w:val="00A9526B"/>
    <w:rsid w:val="00A964A4"/>
    <w:rsid w:val="00A964C2"/>
    <w:rsid w:val="00A96CAC"/>
    <w:rsid w:val="00A97468"/>
    <w:rsid w:val="00AA09E6"/>
    <w:rsid w:val="00AA0A6E"/>
    <w:rsid w:val="00AA2F89"/>
    <w:rsid w:val="00AA4D4A"/>
    <w:rsid w:val="00AA62BB"/>
    <w:rsid w:val="00AA63A2"/>
    <w:rsid w:val="00AA6457"/>
    <w:rsid w:val="00AB125D"/>
    <w:rsid w:val="00AB1317"/>
    <w:rsid w:val="00AB1F7B"/>
    <w:rsid w:val="00AB204A"/>
    <w:rsid w:val="00AB213F"/>
    <w:rsid w:val="00AB220F"/>
    <w:rsid w:val="00AB3DC4"/>
    <w:rsid w:val="00AB6170"/>
    <w:rsid w:val="00AB6740"/>
    <w:rsid w:val="00AB6F71"/>
    <w:rsid w:val="00AC0417"/>
    <w:rsid w:val="00AC0548"/>
    <w:rsid w:val="00AC1B5A"/>
    <w:rsid w:val="00AC26A1"/>
    <w:rsid w:val="00AC28D1"/>
    <w:rsid w:val="00AC2E4C"/>
    <w:rsid w:val="00AC2E50"/>
    <w:rsid w:val="00AC2E9B"/>
    <w:rsid w:val="00AC37BD"/>
    <w:rsid w:val="00AC41B0"/>
    <w:rsid w:val="00AC63FD"/>
    <w:rsid w:val="00AC6ACB"/>
    <w:rsid w:val="00AC78BA"/>
    <w:rsid w:val="00AC7A0F"/>
    <w:rsid w:val="00AD008F"/>
    <w:rsid w:val="00AD0C6D"/>
    <w:rsid w:val="00AD216D"/>
    <w:rsid w:val="00AD3889"/>
    <w:rsid w:val="00AD3B6E"/>
    <w:rsid w:val="00AD45B6"/>
    <w:rsid w:val="00AD6449"/>
    <w:rsid w:val="00AD6E0C"/>
    <w:rsid w:val="00AD7144"/>
    <w:rsid w:val="00AD749C"/>
    <w:rsid w:val="00AD7CEE"/>
    <w:rsid w:val="00AE0F47"/>
    <w:rsid w:val="00AE2463"/>
    <w:rsid w:val="00AE2C9B"/>
    <w:rsid w:val="00AE2CF5"/>
    <w:rsid w:val="00AE3C8D"/>
    <w:rsid w:val="00AE4237"/>
    <w:rsid w:val="00AE47BC"/>
    <w:rsid w:val="00AE4D0F"/>
    <w:rsid w:val="00AE51AE"/>
    <w:rsid w:val="00AE51B3"/>
    <w:rsid w:val="00AE531C"/>
    <w:rsid w:val="00AE5976"/>
    <w:rsid w:val="00AE5B59"/>
    <w:rsid w:val="00AE5E26"/>
    <w:rsid w:val="00AE63E5"/>
    <w:rsid w:val="00AE69F9"/>
    <w:rsid w:val="00AF0EA8"/>
    <w:rsid w:val="00AF2C73"/>
    <w:rsid w:val="00AF36AF"/>
    <w:rsid w:val="00AF401F"/>
    <w:rsid w:val="00AF4B62"/>
    <w:rsid w:val="00AF56F6"/>
    <w:rsid w:val="00AF5852"/>
    <w:rsid w:val="00B0086D"/>
    <w:rsid w:val="00B011A2"/>
    <w:rsid w:val="00B02456"/>
    <w:rsid w:val="00B02C1F"/>
    <w:rsid w:val="00B05AEB"/>
    <w:rsid w:val="00B07166"/>
    <w:rsid w:val="00B07685"/>
    <w:rsid w:val="00B108FC"/>
    <w:rsid w:val="00B10F32"/>
    <w:rsid w:val="00B12EBB"/>
    <w:rsid w:val="00B137E6"/>
    <w:rsid w:val="00B1412D"/>
    <w:rsid w:val="00B1440D"/>
    <w:rsid w:val="00B1486D"/>
    <w:rsid w:val="00B1735C"/>
    <w:rsid w:val="00B17ED8"/>
    <w:rsid w:val="00B20038"/>
    <w:rsid w:val="00B20751"/>
    <w:rsid w:val="00B218E4"/>
    <w:rsid w:val="00B23095"/>
    <w:rsid w:val="00B23A95"/>
    <w:rsid w:val="00B23E98"/>
    <w:rsid w:val="00B244F7"/>
    <w:rsid w:val="00B24CF5"/>
    <w:rsid w:val="00B252AD"/>
    <w:rsid w:val="00B255A6"/>
    <w:rsid w:val="00B257D2"/>
    <w:rsid w:val="00B26492"/>
    <w:rsid w:val="00B30746"/>
    <w:rsid w:val="00B3127F"/>
    <w:rsid w:val="00B3140F"/>
    <w:rsid w:val="00B320C4"/>
    <w:rsid w:val="00B324E4"/>
    <w:rsid w:val="00B32539"/>
    <w:rsid w:val="00B32E36"/>
    <w:rsid w:val="00B33425"/>
    <w:rsid w:val="00B350C2"/>
    <w:rsid w:val="00B367DB"/>
    <w:rsid w:val="00B40478"/>
    <w:rsid w:val="00B434F4"/>
    <w:rsid w:val="00B443CF"/>
    <w:rsid w:val="00B44BF5"/>
    <w:rsid w:val="00B45569"/>
    <w:rsid w:val="00B4625E"/>
    <w:rsid w:val="00B46299"/>
    <w:rsid w:val="00B46B45"/>
    <w:rsid w:val="00B50F8E"/>
    <w:rsid w:val="00B53854"/>
    <w:rsid w:val="00B55659"/>
    <w:rsid w:val="00B5578A"/>
    <w:rsid w:val="00B56EEA"/>
    <w:rsid w:val="00B608EE"/>
    <w:rsid w:val="00B60D25"/>
    <w:rsid w:val="00B62EA2"/>
    <w:rsid w:val="00B638F1"/>
    <w:rsid w:val="00B64282"/>
    <w:rsid w:val="00B64310"/>
    <w:rsid w:val="00B64A49"/>
    <w:rsid w:val="00B65622"/>
    <w:rsid w:val="00B661B8"/>
    <w:rsid w:val="00B70D2C"/>
    <w:rsid w:val="00B71E73"/>
    <w:rsid w:val="00B758E5"/>
    <w:rsid w:val="00B76B1C"/>
    <w:rsid w:val="00B847AF"/>
    <w:rsid w:val="00B84864"/>
    <w:rsid w:val="00B8522E"/>
    <w:rsid w:val="00B8643A"/>
    <w:rsid w:val="00B87EC9"/>
    <w:rsid w:val="00B90EFF"/>
    <w:rsid w:val="00B91C9C"/>
    <w:rsid w:val="00B91CEA"/>
    <w:rsid w:val="00B93AD3"/>
    <w:rsid w:val="00B93DE7"/>
    <w:rsid w:val="00B951B8"/>
    <w:rsid w:val="00B9691D"/>
    <w:rsid w:val="00BA0D78"/>
    <w:rsid w:val="00BA16EF"/>
    <w:rsid w:val="00BA42DE"/>
    <w:rsid w:val="00BA4964"/>
    <w:rsid w:val="00BA52AD"/>
    <w:rsid w:val="00BA5C42"/>
    <w:rsid w:val="00BB140E"/>
    <w:rsid w:val="00BB1AD9"/>
    <w:rsid w:val="00BB43FD"/>
    <w:rsid w:val="00BB4A3F"/>
    <w:rsid w:val="00BB561B"/>
    <w:rsid w:val="00BB7C4C"/>
    <w:rsid w:val="00BC0FF7"/>
    <w:rsid w:val="00BC1637"/>
    <w:rsid w:val="00BC1DE2"/>
    <w:rsid w:val="00BC495F"/>
    <w:rsid w:val="00BC53C7"/>
    <w:rsid w:val="00BC6103"/>
    <w:rsid w:val="00BD2A59"/>
    <w:rsid w:val="00BD3E9F"/>
    <w:rsid w:val="00BD41BD"/>
    <w:rsid w:val="00BD47FC"/>
    <w:rsid w:val="00BD5105"/>
    <w:rsid w:val="00BD5D17"/>
    <w:rsid w:val="00BD5EAE"/>
    <w:rsid w:val="00BD62E4"/>
    <w:rsid w:val="00BD6D3F"/>
    <w:rsid w:val="00BD7E06"/>
    <w:rsid w:val="00BE0902"/>
    <w:rsid w:val="00BE0CC7"/>
    <w:rsid w:val="00BE0E21"/>
    <w:rsid w:val="00BE1378"/>
    <w:rsid w:val="00BE196E"/>
    <w:rsid w:val="00BE26E4"/>
    <w:rsid w:val="00BE31BF"/>
    <w:rsid w:val="00BE54F8"/>
    <w:rsid w:val="00BE5A32"/>
    <w:rsid w:val="00BE5C85"/>
    <w:rsid w:val="00BE7104"/>
    <w:rsid w:val="00BF051E"/>
    <w:rsid w:val="00BF09FB"/>
    <w:rsid w:val="00BF0AF2"/>
    <w:rsid w:val="00BF2DDC"/>
    <w:rsid w:val="00BF5120"/>
    <w:rsid w:val="00BF5CF6"/>
    <w:rsid w:val="00BF5DF2"/>
    <w:rsid w:val="00BF7012"/>
    <w:rsid w:val="00C0055B"/>
    <w:rsid w:val="00C00841"/>
    <w:rsid w:val="00C01E17"/>
    <w:rsid w:val="00C031E4"/>
    <w:rsid w:val="00C03893"/>
    <w:rsid w:val="00C03BDC"/>
    <w:rsid w:val="00C041C4"/>
    <w:rsid w:val="00C053B6"/>
    <w:rsid w:val="00C05AA7"/>
    <w:rsid w:val="00C06C26"/>
    <w:rsid w:val="00C079A5"/>
    <w:rsid w:val="00C109A7"/>
    <w:rsid w:val="00C12102"/>
    <w:rsid w:val="00C123BD"/>
    <w:rsid w:val="00C12FD1"/>
    <w:rsid w:val="00C14378"/>
    <w:rsid w:val="00C15D1E"/>
    <w:rsid w:val="00C16A63"/>
    <w:rsid w:val="00C17C83"/>
    <w:rsid w:val="00C17FD4"/>
    <w:rsid w:val="00C21045"/>
    <w:rsid w:val="00C229E6"/>
    <w:rsid w:val="00C236A8"/>
    <w:rsid w:val="00C249E8"/>
    <w:rsid w:val="00C24FDD"/>
    <w:rsid w:val="00C25A46"/>
    <w:rsid w:val="00C25B12"/>
    <w:rsid w:val="00C25DA8"/>
    <w:rsid w:val="00C260C2"/>
    <w:rsid w:val="00C26475"/>
    <w:rsid w:val="00C26C01"/>
    <w:rsid w:val="00C30476"/>
    <w:rsid w:val="00C31118"/>
    <w:rsid w:val="00C31BEE"/>
    <w:rsid w:val="00C31FA7"/>
    <w:rsid w:val="00C324D1"/>
    <w:rsid w:val="00C3250A"/>
    <w:rsid w:val="00C34B1B"/>
    <w:rsid w:val="00C34B6A"/>
    <w:rsid w:val="00C35E74"/>
    <w:rsid w:val="00C36477"/>
    <w:rsid w:val="00C36CB1"/>
    <w:rsid w:val="00C36DE2"/>
    <w:rsid w:val="00C37536"/>
    <w:rsid w:val="00C379BB"/>
    <w:rsid w:val="00C37B85"/>
    <w:rsid w:val="00C40844"/>
    <w:rsid w:val="00C41073"/>
    <w:rsid w:val="00C41E4C"/>
    <w:rsid w:val="00C42104"/>
    <w:rsid w:val="00C422AB"/>
    <w:rsid w:val="00C439A3"/>
    <w:rsid w:val="00C4501F"/>
    <w:rsid w:val="00C45B6C"/>
    <w:rsid w:val="00C4792F"/>
    <w:rsid w:val="00C47C0E"/>
    <w:rsid w:val="00C50923"/>
    <w:rsid w:val="00C50971"/>
    <w:rsid w:val="00C51ABC"/>
    <w:rsid w:val="00C522E2"/>
    <w:rsid w:val="00C52763"/>
    <w:rsid w:val="00C52F81"/>
    <w:rsid w:val="00C53A8A"/>
    <w:rsid w:val="00C554D2"/>
    <w:rsid w:val="00C56966"/>
    <w:rsid w:val="00C57705"/>
    <w:rsid w:val="00C5779E"/>
    <w:rsid w:val="00C61F8D"/>
    <w:rsid w:val="00C626C0"/>
    <w:rsid w:val="00C652F1"/>
    <w:rsid w:val="00C65529"/>
    <w:rsid w:val="00C6567F"/>
    <w:rsid w:val="00C672A0"/>
    <w:rsid w:val="00C705AA"/>
    <w:rsid w:val="00C7083F"/>
    <w:rsid w:val="00C71703"/>
    <w:rsid w:val="00C7186C"/>
    <w:rsid w:val="00C72CFD"/>
    <w:rsid w:val="00C7320B"/>
    <w:rsid w:val="00C74428"/>
    <w:rsid w:val="00C74928"/>
    <w:rsid w:val="00C74A39"/>
    <w:rsid w:val="00C750C3"/>
    <w:rsid w:val="00C7541F"/>
    <w:rsid w:val="00C75C86"/>
    <w:rsid w:val="00C760CA"/>
    <w:rsid w:val="00C77243"/>
    <w:rsid w:val="00C77F5F"/>
    <w:rsid w:val="00C80182"/>
    <w:rsid w:val="00C812A8"/>
    <w:rsid w:val="00C81658"/>
    <w:rsid w:val="00C82B84"/>
    <w:rsid w:val="00C8307F"/>
    <w:rsid w:val="00C836C4"/>
    <w:rsid w:val="00C846E4"/>
    <w:rsid w:val="00C86E9F"/>
    <w:rsid w:val="00C87D60"/>
    <w:rsid w:val="00C907CE"/>
    <w:rsid w:val="00C90F09"/>
    <w:rsid w:val="00C915FD"/>
    <w:rsid w:val="00C91B5C"/>
    <w:rsid w:val="00C9299D"/>
    <w:rsid w:val="00C92AEF"/>
    <w:rsid w:val="00C932E7"/>
    <w:rsid w:val="00C934CA"/>
    <w:rsid w:val="00C938B7"/>
    <w:rsid w:val="00C93F67"/>
    <w:rsid w:val="00C94227"/>
    <w:rsid w:val="00C94344"/>
    <w:rsid w:val="00C94EC5"/>
    <w:rsid w:val="00C95225"/>
    <w:rsid w:val="00C957BC"/>
    <w:rsid w:val="00C963F8"/>
    <w:rsid w:val="00C96B38"/>
    <w:rsid w:val="00CA075D"/>
    <w:rsid w:val="00CA0D5B"/>
    <w:rsid w:val="00CA462E"/>
    <w:rsid w:val="00CA6878"/>
    <w:rsid w:val="00CA6EE7"/>
    <w:rsid w:val="00CB06B9"/>
    <w:rsid w:val="00CB2559"/>
    <w:rsid w:val="00CB27C2"/>
    <w:rsid w:val="00CB2FA6"/>
    <w:rsid w:val="00CB387F"/>
    <w:rsid w:val="00CB3CF8"/>
    <w:rsid w:val="00CB3E9F"/>
    <w:rsid w:val="00CB3F91"/>
    <w:rsid w:val="00CB4F86"/>
    <w:rsid w:val="00CB54B3"/>
    <w:rsid w:val="00CB6366"/>
    <w:rsid w:val="00CB7F0B"/>
    <w:rsid w:val="00CC101A"/>
    <w:rsid w:val="00CC39E3"/>
    <w:rsid w:val="00CC3D6F"/>
    <w:rsid w:val="00CC4E26"/>
    <w:rsid w:val="00CC4FC8"/>
    <w:rsid w:val="00CC69FD"/>
    <w:rsid w:val="00CD04E9"/>
    <w:rsid w:val="00CD0657"/>
    <w:rsid w:val="00CD1587"/>
    <w:rsid w:val="00CD18E0"/>
    <w:rsid w:val="00CD2E2C"/>
    <w:rsid w:val="00CD4A8C"/>
    <w:rsid w:val="00CD4D88"/>
    <w:rsid w:val="00CD4F81"/>
    <w:rsid w:val="00CD620C"/>
    <w:rsid w:val="00CD6747"/>
    <w:rsid w:val="00CD7164"/>
    <w:rsid w:val="00CD7377"/>
    <w:rsid w:val="00CD74B7"/>
    <w:rsid w:val="00CD7E6B"/>
    <w:rsid w:val="00CD7E84"/>
    <w:rsid w:val="00CE290E"/>
    <w:rsid w:val="00CE2FA9"/>
    <w:rsid w:val="00CE3FEE"/>
    <w:rsid w:val="00CE4BF8"/>
    <w:rsid w:val="00CE4D4E"/>
    <w:rsid w:val="00CE7A2E"/>
    <w:rsid w:val="00CF1F2B"/>
    <w:rsid w:val="00CF3BA2"/>
    <w:rsid w:val="00CF5676"/>
    <w:rsid w:val="00CF5EE6"/>
    <w:rsid w:val="00CF76A0"/>
    <w:rsid w:val="00D00A2E"/>
    <w:rsid w:val="00D023D4"/>
    <w:rsid w:val="00D02D5B"/>
    <w:rsid w:val="00D03993"/>
    <w:rsid w:val="00D04958"/>
    <w:rsid w:val="00D05083"/>
    <w:rsid w:val="00D054BC"/>
    <w:rsid w:val="00D054DA"/>
    <w:rsid w:val="00D05675"/>
    <w:rsid w:val="00D057DD"/>
    <w:rsid w:val="00D05D4A"/>
    <w:rsid w:val="00D06AC0"/>
    <w:rsid w:val="00D07518"/>
    <w:rsid w:val="00D1127B"/>
    <w:rsid w:val="00D11798"/>
    <w:rsid w:val="00D11A91"/>
    <w:rsid w:val="00D11FA5"/>
    <w:rsid w:val="00D14AA3"/>
    <w:rsid w:val="00D14E3C"/>
    <w:rsid w:val="00D15E27"/>
    <w:rsid w:val="00D164CB"/>
    <w:rsid w:val="00D1652A"/>
    <w:rsid w:val="00D16758"/>
    <w:rsid w:val="00D17D79"/>
    <w:rsid w:val="00D2056A"/>
    <w:rsid w:val="00D20C96"/>
    <w:rsid w:val="00D20E21"/>
    <w:rsid w:val="00D216FF"/>
    <w:rsid w:val="00D2286D"/>
    <w:rsid w:val="00D23288"/>
    <w:rsid w:val="00D24057"/>
    <w:rsid w:val="00D26B8E"/>
    <w:rsid w:val="00D3016E"/>
    <w:rsid w:val="00D32AAF"/>
    <w:rsid w:val="00D340B9"/>
    <w:rsid w:val="00D35CC1"/>
    <w:rsid w:val="00D35E17"/>
    <w:rsid w:val="00D36E78"/>
    <w:rsid w:val="00D373DD"/>
    <w:rsid w:val="00D375A9"/>
    <w:rsid w:val="00D37A4B"/>
    <w:rsid w:val="00D401F6"/>
    <w:rsid w:val="00D40EBF"/>
    <w:rsid w:val="00D41A23"/>
    <w:rsid w:val="00D4214B"/>
    <w:rsid w:val="00D43C7F"/>
    <w:rsid w:val="00D452A1"/>
    <w:rsid w:val="00D455E8"/>
    <w:rsid w:val="00D45949"/>
    <w:rsid w:val="00D45AA0"/>
    <w:rsid w:val="00D45BB2"/>
    <w:rsid w:val="00D5020B"/>
    <w:rsid w:val="00D503DD"/>
    <w:rsid w:val="00D50AE9"/>
    <w:rsid w:val="00D51AF3"/>
    <w:rsid w:val="00D52ADC"/>
    <w:rsid w:val="00D52C78"/>
    <w:rsid w:val="00D5448E"/>
    <w:rsid w:val="00D54665"/>
    <w:rsid w:val="00D552A2"/>
    <w:rsid w:val="00D55A02"/>
    <w:rsid w:val="00D56434"/>
    <w:rsid w:val="00D572DF"/>
    <w:rsid w:val="00D60A2C"/>
    <w:rsid w:val="00D60DE3"/>
    <w:rsid w:val="00D61679"/>
    <w:rsid w:val="00D61C34"/>
    <w:rsid w:val="00D62344"/>
    <w:rsid w:val="00D62EF6"/>
    <w:rsid w:val="00D63A2B"/>
    <w:rsid w:val="00D64E5F"/>
    <w:rsid w:val="00D6544F"/>
    <w:rsid w:val="00D65D4D"/>
    <w:rsid w:val="00D662B5"/>
    <w:rsid w:val="00D66C0E"/>
    <w:rsid w:val="00D70558"/>
    <w:rsid w:val="00D70965"/>
    <w:rsid w:val="00D70B0D"/>
    <w:rsid w:val="00D71C31"/>
    <w:rsid w:val="00D71CD9"/>
    <w:rsid w:val="00D72A06"/>
    <w:rsid w:val="00D72DE9"/>
    <w:rsid w:val="00D73429"/>
    <w:rsid w:val="00D738F9"/>
    <w:rsid w:val="00D74224"/>
    <w:rsid w:val="00D74D3E"/>
    <w:rsid w:val="00D7687D"/>
    <w:rsid w:val="00D77568"/>
    <w:rsid w:val="00D80E7E"/>
    <w:rsid w:val="00D8118D"/>
    <w:rsid w:val="00D81736"/>
    <w:rsid w:val="00D8195D"/>
    <w:rsid w:val="00D82535"/>
    <w:rsid w:val="00D83764"/>
    <w:rsid w:val="00D85152"/>
    <w:rsid w:val="00D85297"/>
    <w:rsid w:val="00D8553E"/>
    <w:rsid w:val="00D858B6"/>
    <w:rsid w:val="00D86467"/>
    <w:rsid w:val="00D873ED"/>
    <w:rsid w:val="00D87AAD"/>
    <w:rsid w:val="00D87B1E"/>
    <w:rsid w:val="00D912DF"/>
    <w:rsid w:val="00D9302C"/>
    <w:rsid w:val="00D94024"/>
    <w:rsid w:val="00D94589"/>
    <w:rsid w:val="00D948DA"/>
    <w:rsid w:val="00D94FAF"/>
    <w:rsid w:val="00D953AF"/>
    <w:rsid w:val="00D95896"/>
    <w:rsid w:val="00D95E29"/>
    <w:rsid w:val="00DA1BCD"/>
    <w:rsid w:val="00DA2916"/>
    <w:rsid w:val="00DA4D6A"/>
    <w:rsid w:val="00DA5E92"/>
    <w:rsid w:val="00DA698F"/>
    <w:rsid w:val="00DA7D93"/>
    <w:rsid w:val="00DB0A89"/>
    <w:rsid w:val="00DB0BBA"/>
    <w:rsid w:val="00DB1270"/>
    <w:rsid w:val="00DB143C"/>
    <w:rsid w:val="00DB57A4"/>
    <w:rsid w:val="00DB77A8"/>
    <w:rsid w:val="00DB7BBC"/>
    <w:rsid w:val="00DC05B2"/>
    <w:rsid w:val="00DC2DE0"/>
    <w:rsid w:val="00DC386E"/>
    <w:rsid w:val="00DC3A80"/>
    <w:rsid w:val="00DC631D"/>
    <w:rsid w:val="00DC6AAC"/>
    <w:rsid w:val="00DC7117"/>
    <w:rsid w:val="00DD0261"/>
    <w:rsid w:val="00DD03A6"/>
    <w:rsid w:val="00DD0583"/>
    <w:rsid w:val="00DD092B"/>
    <w:rsid w:val="00DD27A2"/>
    <w:rsid w:val="00DD37A3"/>
    <w:rsid w:val="00DD4431"/>
    <w:rsid w:val="00DD4B4D"/>
    <w:rsid w:val="00DD7103"/>
    <w:rsid w:val="00DE2883"/>
    <w:rsid w:val="00DE2BF2"/>
    <w:rsid w:val="00DE3849"/>
    <w:rsid w:val="00DE3F6C"/>
    <w:rsid w:val="00DE56DA"/>
    <w:rsid w:val="00DE58B3"/>
    <w:rsid w:val="00DE64F6"/>
    <w:rsid w:val="00DE6C11"/>
    <w:rsid w:val="00DE791E"/>
    <w:rsid w:val="00DE7CBF"/>
    <w:rsid w:val="00DE7E23"/>
    <w:rsid w:val="00DE7E7B"/>
    <w:rsid w:val="00DF0169"/>
    <w:rsid w:val="00DF137A"/>
    <w:rsid w:val="00DF1BF8"/>
    <w:rsid w:val="00DF23E8"/>
    <w:rsid w:val="00DF2A1D"/>
    <w:rsid w:val="00DF2F19"/>
    <w:rsid w:val="00DF3953"/>
    <w:rsid w:val="00DF4A19"/>
    <w:rsid w:val="00DF5063"/>
    <w:rsid w:val="00E00270"/>
    <w:rsid w:val="00E0045D"/>
    <w:rsid w:val="00E006E7"/>
    <w:rsid w:val="00E006FF"/>
    <w:rsid w:val="00E00BDA"/>
    <w:rsid w:val="00E00CC8"/>
    <w:rsid w:val="00E012C9"/>
    <w:rsid w:val="00E03B62"/>
    <w:rsid w:val="00E04151"/>
    <w:rsid w:val="00E04A2D"/>
    <w:rsid w:val="00E04FB2"/>
    <w:rsid w:val="00E0665F"/>
    <w:rsid w:val="00E06A0C"/>
    <w:rsid w:val="00E07395"/>
    <w:rsid w:val="00E10D6A"/>
    <w:rsid w:val="00E11214"/>
    <w:rsid w:val="00E12D85"/>
    <w:rsid w:val="00E14F60"/>
    <w:rsid w:val="00E16A87"/>
    <w:rsid w:val="00E16EDB"/>
    <w:rsid w:val="00E21A9E"/>
    <w:rsid w:val="00E21BDF"/>
    <w:rsid w:val="00E21F31"/>
    <w:rsid w:val="00E22B6B"/>
    <w:rsid w:val="00E23289"/>
    <w:rsid w:val="00E23C11"/>
    <w:rsid w:val="00E2489C"/>
    <w:rsid w:val="00E2571A"/>
    <w:rsid w:val="00E25E5D"/>
    <w:rsid w:val="00E26928"/>
    <w:rsid w:val="00E30621"/>
    <w:rsid w:val="00E31EE7"/>
    <w:rsid w:val="00E32918"/>
    <w:rsid w:val="00E359B1"/>
    <w:rsid w:val="00E36EF9"/>
    <w:rsid w:val="00E4023C"/>
    <w:rsid w:val="00E4148B"/>
    <w:rsid w:val="00E417C5"/>
    <w:rsid w:val="00E41FAF"/>
    <w:rsid w:val="00E435D7"/>
    <w:rsid w:val="00E438A9"/>
    <w:rsid w:val="00E43F9D"/>
    <w:rsid w:val="00E45B22"/>
    <w:rsid w:val="00E460E5"/>
    <w:rsid w:val="00E47F69"/>
    <w:rsid w:val="00E50268"/>
    <w:rsid w:val="00E50B9A"/>
    <w:rsid w:val="00E51B78"/>
    <w:rsid w:val="00E54619"/>
    <w:rsid w:val="00E54636"/>
    <w:rsid w:val="00E54871"/>
    <w:rsid w:val="00E56014"/>
    <w:rsid w:val="00E5747B"/>
    <w:rsid w:val="00E6017D"/>
    <w:rsid w:val="00E60A8F"/>
    <w:rsid w:val="00E6205F"/>
    <w:rsid w:val="00E624CC"/>
    <w:rsid w:val="00E626D8"/>
    <w:rsid w:val="00E63BF5"/>
    <w:rsid w:val="00E66AC4"/>
    <w:rsid w:val="00E708C4"/>
    <w:rsid w:val="00E70CDC"/>
    <w:rsid w:val="00E72399"/>
    <w:rsid w:val="00E72889"/>
    <w:rsid w:val="00E743DF"/>
    <w:rsid w:val="00E752F7"/>
    <w:rsid w:val="00E7537E"/>
    <w:rsid w:val="00E75CB9"/>
    <w:rsid w:val="00E75D9B"/>
    <w:rsid w:val="00E762EE"/>
    <w:rsid w:val="00E7675B"/>
    <w:rsid w:val="00E8033F"/>
    <w:rsid w:val="00E83415"/>
    <w:rsid w:val="00E83650"/>
    <w:rsid w:val="00E83BEB"/>
    <w:rsid w:val="00E847F5"/>
    <w:rsid w:val="00E85076"/>
    <w:rsid w:val="00E85C36"/>
    <w:rsid w:val="00E86554"/>
    <w:rsid w:val="00E9133A"/>
    <w:rsid w:val="00E914A4"/>
    <w:rsid w:val="00E91E13"/>
    <w:rsid w:val="00E92B5A"/>
    <w:rsid w:val="00E955BF"/>
    <w:rsid w:val="00E95679"/>
    <w:rsid w:val="00E95FE7"/>
    <w:rsid w:val="00E967BF"/>
    <w:rsid w:val="00E96ECF"/>
    <w:rsid w:val="00E971FC"/>
    <w:rsid w:val="00E97DAD"/>
    <w:rsid w:val="00EA1315"/>
    <w:rsid w:val="00EA1544"/>
    <w:rsid w:val="00EA1F70"/>
    <w:rsid w:val="00EA2944"/>
    <w:rsid w:val="00EA3CC7"/>
    <w:rsid w:val="00EA40BE"/>
    <w:rsid w:val="00EA6304"/>
    <w:rsid w:val="00EA6FD2"/>
    <w:rsid w:val="00EA7845"/>
    <w:rsid w:val="00EA7B5C"/>
    <w:rsid w:val="00EB07D3"/>
    <w:rsid w:val="00EB084D"/>
    <w:rsid w:val="00EB0B30"/>
    <w:rsid w:val="00EB32EF"/>
    <w:rsid w:val="00EB3E99"/>
    <w:rsid w:val="00EB4A13"/>
    <w:rsid w:val="00EB62CC"/>
    <w:rsid w:val="00EB6370"/>
    <w:rsid w:val="00EC07C6"/>
    <w:rsid w:val="00EC098F"/>
    <w:rsid w:val="00EC0C68"/>
    <w:rsid w:val="00EC123C"/>
    <w:rsid w:val="00EC1C49"/>
    <w:rsid w:val="00EC37F2"/>
    <w:rsid w:val="00EC3FBF"/>
    <w:rsid w:val="00EC4299"/>
    <w:rsid w:val="00EC42D1"/>
    <w:rsid w:val="00EC4626"/>
    <w:rsid w:val="00EC4F93"/>
    <w:rsid w:val="00EC57AA"/>
    <w:rsid w:val="00EC5D7C"/>
    <w:rsid w:val="00EC60B9"/>
    <w:rsid w:val="00EC6511"/>
    <w:rsid w:val="00EC6D4B"/>
    <w:rsid w:val="00EC7AEF"/>
    <w:rsid w:val="00EC7DA9"/>
    <w:rsid w:val="00ED081D"/>
    <w:rsid w:val="00ED1844"/>
    <w:rsid w:val="00ED1904"/>
    <w:rsid w:val="00ED4820"/>
    <w:rsid w:val="00ED6F8D"/>
    <w:rsid w:val="00EE1E61"/>
    <w:rsid w:val="00EE5C97"/>
    <w:rsid w:val="00EE5E04"/>
    <w:rsid w:val="00EE6CB8"/>
    <w:rsid w:val="00EE6DEE"/>
    <w:rsid w:val="00EE7361"/>
    <w:rsid w:val="00EE74D4"/>
    <w:rsid w:val="00EE7A8C"/>
    <w:rsid w:val="00EF2045"/>
    <w:rsid w:val="00EF2424"/>
    <w:rsid w:val="00EF2CEE"/>
    <w:rsid w:val="00EF2E98"/>
    <w:rsid w:val="00EF3FEC"/>
    <w:rsid w:val="00EF7D31"/>
    <w:rsid w:val="00F01693"/>
    <w:rsid w:val="00F02111"/>
    <w:rsid w:val="00F03B05"/>
    <w:rsid w:val="00F04552"/>
    <w:rsid w:val="00F0478A"/>
    <w:rsid w:val="00F04A48"/>
    <w:rsid w:val="00F04EB0"/>
    <w:rsid w:val="00F05706"/>
    <w:rsid w:val="00F05718"/>
    <w:rsid w:val="00F06016"/>
    <w:rsid w:val="00F0604D"/>
    <w:rsid w:val="00F06B34"/>
    <w:rsid w:val="00F06F32"/>
    <w:rsid w:val="00F0794A"/>
    <w:rsid w:val="00F07AA1"/>
    <w:rsid w:val="00F10BAA"/>
    <w:rsid w:val="00F111F6"/>
    <w:rsid w:val="00F11C7C"/>
    <w:rsid w:val="00F13591"/>
    <w:rsid w:val="00F13AAE"/>
    <w:rsid w:val="00F1466F"/>
    <w:rsid w:val="00F14B41"/>
    <w:rsid w:val="00F14CE1"/>
    <w:rsid w:val="00F150D7"/>
    <w:rsid w:val="00F154FC"/>
    <w:rsid w:val="00F155AF"/>
    <w:rsid w:val="00F16F25"/>
    <w:rsid w:val="00F2085B"/>
    <w:rsid w:val="00F22797"/>
    <w:rsid w:val="00F23C09"/>
    <w:rsid w:val="00F23E3C"/>
    <w:rsid w:val="00F24398"/>
    <w:rsid w:val="00F25374"/>
    <w:rsid w:val="00F2743C"/>
    <w:rsid w:val="00F301C2"/>
    <w:rsid w:val="00F30EDA"/>
    <w:rsid w:val="00F316C5"/>
    <w:rsid w:val="00F31D95"/>
    <w:rsid w:val="00F32184"/>
    <w:rsid w:val="00F332E0"/>
    <w:rsid w:val="00F3346D"/>
    <w:rsid w:val="00F33E35"/>
    <w:rsid w:val="00F34EE2"/>
    <w:rsid w:val="00F35EAF"/>
    <w:rsid w:val="00F36953"/>
    <w:rsid w:val="00F37065"/>
    <w:rsid w:val="00F3735F"/>
    <w:rsid w:val="00F40439"/>
    <w:rsid w:val="00F4045A"/>
    <w:rsid w:val="00F41808"/>
    <w:rsid w:val="00F42EFB"/>
    <w:rsid w:val="00F42F1E"/>
    <w:rsid w:val="00F435C3"/>
    <w:rsid w:val="00F43A46"/>
    <w:rsid w:val="00F46E9D"/>
    <w:rsid w:val="00F46FA1"/>
    <w:rsid w:val="00F476A8"/>
    <w:rsid w:val="00F47978"/>
    <w:rsid w:val="00F479CC"/>
    <w:rsid w:val="00F47F6C"/>
    <w:rsid w:val="00F47FFE"/>
    <w:rsid w:val="00F5041F"/>
    <w:rsid w:val="00F506A7"/>
    <w:rsid w:val="00F511F6"/>
    <w:rsid w:val="00F51EF5"/>
    <w:rsid w:val="00F52A4C"/>
    <w:rsid w:val="00F611D1"/>
    <w:rsid w:val="00F6145E"/>
    <w:rsid w:val="00F628AD"/>
    <w:rsid w:val="00F62C56"/>
    <w:rsid w:val="00F63154"/>
    <w:rsid w:val="00F63720"/>
    <w:rsid w:val="00F646E5"/>
    <w:rsid w:val="00F663B3"/>
    <w:rsid w:val="00F66C9E"/>
    <w:rsid w:val="00F67AF6"/>
    <w:rsid w:val="00F711A0"/>
    <w:rsid w:val="00F722D3"/>
    <w:rsid w:val="00F73412"/>
    <w:rsid w:val="00F73B23"/>
    <w:rsid w:val="00F7790D"/>
    <w:rsid w:val="00F803D0"/>
    <w:rsid w:val="00F80BD1"/>
    <w:rsid w:val="00F82AA5"/>
    <w:rsid w:val="00F834BF"/>
    <w:rsid w:val="00F83D4E"/>
    <w:rsid w:val="00F83E94"/>
    <w:rsid w:val="00F845A9"/>
    <w:rsid w:val="00F84664"/>
    <w:rsid w:val="00F848C9"/>
    <w:rsid w:val="00F84B95"/>
    <w:rsid w:val="00F8505D"/>
    <w:rsid w:val="00F85A4C"/>
    <w:rsid w:val="00F86069"/>
    <w:rsid w:val="00F865A2"/>
    <w:rsid w:val="00F87274"/>
    <w:rsid w:val="00F8766D"/>
    <w:rsid w:val="00F910B0"/>
    <w:rsid w:val="00F92E15"/>
    <w:rsid w:val="00F945D6"/>
    <w:rsid w:val="00F94F82"/>
    <w:rsid w:val="00F95056"/>
    <w:rsid w:val="00F954DC"/>
    <w:rsid w:val="00F95867"/>
    <w:rsid w:val="00F962A6"/>
    <w:rsid w:val="00F96B5F"/>
    <w:rsid w:val="00F96F5A"/>
    <w:rsid w:val="00F97502"/>
    <w:rsid w:val="00F97A42"/>
    <w:rsid w:val="00FA0D33"/>
    <w:rsid w:val="00FA1183"/>
    <w:rsid w:val="00FA1330"/>
    <w:rsid w:val="00FA17F0"/>
    <w:rsid w:val="00FA1B80"/>
    <w:rsid w:val="00FA3923"/>
    <w:rsid w:val="00FA3F95"/>
    <w:rsid w:val="00FA430B"/>
    <w:rsid w:val="00FA4BC8"/>
    <w:rsid w:val="00FA4E6C"/>
    <w:rsid w:val="00FA511E"/>
    <w:rsid w:val="00FA57C0"/>
    <w:rsid w:val="00FA5BE4"/>
    <w:rsid w:val="00FA5CE3"/>
    <w:rsid w:val="00FA5F77"/>
    <w:rsid w:val="00FA787D"/>
    <w:rsid w:val="00FB240D"/>
    <w:rsid w:val="00FB3105"/>
    <w:rsid w:val="00FB33A5"/>
    <w:rsid w:val="00FB5041"/>
    <w:rsid w:val="00FB554A"/>
    <w:rsid w:val="00FB565D"/>
    <w:rsid w:val="00FB5CD4"/>
    <w:rsid w:val="00FB62E2"/>
    <w:rsid w:val="00FB724F"/>
    <w:rsid w:val="00FC02CD"/>
    <w:rsid w:val="00FC0511"/>
    <w:rsid w:val="00FC076C"/>
    <w:rsid w:val="00FC166D"/>
    <w:rsid w:val="00FC2672"/>
    <w:rsid w:val="00FC2D28"/>
    <w:rsid w:val="00FC2D6E"/>
    <w:rsid w:val="00FC2DA8"/>
    <w:rsid w:val="00FC4E30"/>
    <w:rsid w:val="00FC6087"/>
    <w:rsid w:val="00FC6877"/>
    <w:rsid w:val="00FC6FCE"/>
    <w:rsid w:val="00FC76BE"/>
    <w:rsid w:val="00FC7829"/>
    <w:rsid w:val="00FC7DBD"/>
    <w:rsid w:val="00FD0681"/>
    <w:rsid w:val="00FD0A0A"/>
    <w:rsid w:val="00FD0A99"/>
    <w:rsid w:val="00FD1324"/>
    <w:rsid w:val="00FD24A8"/>
    <w:rsid w:val="00FD3768"/>
    <w:rsid w:val="00FD5CE3"/>
    <w:rsid w:val="00FD640D"/>
    <w:rsid w:val="00FD6F8B"/>
    <w:rsid w:val="00FE01C5"/>
    <w:rsid w:val="00FE03B5"/>
    <w:rsid w:val="00FE1BC8"/>
    <w:rsid w:val="00FE2C12"/>
    <w:rsid w:val="00FE3777"/>
    <w:rsid w:val="00FE432C"/>
    <w:rsid w:val="00FE59BE"/>
    <w:rsid w:val="00FE5FC0"/>
    <w:rsid w:val="00FE62CE"/>
    <w:rsid w:val="00FF0B28"/>
    <w:rsid w:val="00FF1029"/>
    <w:rsid w:val="00FF1DD4"/>
    <w:rsid w:val="00FF3EF7"/>
    <w:rsid w:val="00FF43A2"/>
    <w:rsid w:val="00FF43D8"/>
    <w:rsid w:val="00FF47C0"/>
    <w:rsid w:val="00FF4C98"/>
    <w:rsid w:val="00FF52CF"/>
    <w:rsid w:val="00FF5491"/>
    <w:rsid w:val="00FF63B8"/>
    <w:rsid w:val="00FF767C"/>
    <w:rsid w:val="00FF7A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9B7170E-CC26-49DA-BD08-5A76F725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570FDE"/>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basedOn w:val="DefaultParagraphFont"/>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aliases w:val="quote"/>
    <w:basedOn w:val="Normal"/>
    <w:next w:val="ParaLevel1"/>
    <w:link w:val="QuoteChar"/>
    <w:uiPriority w:val="29"/>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paragraph" w:styleId="ListParagraph">
    <w:name w:val="List Paragraph"/>
    <w:basedOn w:val="Normal"/>
    <w:uiPriority w:val="34"/>
    <w:qFormat/>
    <w:rsid w:val="005D174D"/>
    <w:pPr>
      <w:ind w:left="720"/>
      <w:contextualSpacing/>
    </w:pPr>
  </w:style>
  <w:style w:type="paragraph" w:styleId="BalloonText">
    <w:name w:val="Balloon Text"/>
    <w:basedOn w:val="Normal"/>
    <w:link w:val="BalloonTextChar"/>
    <w:rsid w:val="000E05AE"/>
    <w:rPr>
      <w:rFonts w:ascii="Segoe UI" w:hAnsi="Segoe UI" w:cs="Segoe UI"/>
      <w:sz w:val="18"/>
      <w:szCs w:val="18"/>
    </w:rPr>
  </w:style>
  <w:style w:type="character" w:customStyle="1" w:styleId="BalloonTextChar">
    <w:name w:val="Balloon Text Char"/>
    <w:basedOn w:val="DefaultParagraphFont"/>
    <w:link w:val="BalloonText"/>
    <w:rsid w:val="000E05AE"/>
    <w:rPr>
      <w:rFonts w:ascii="Segoe UI" w:hAnsi="Segoe UI" w:cs="Segoe UI"/>
      <w:sz w:val="18"/>
      <w:szCs w:val="18"/>
      <w:lang w:eastAsia="en-US"/>
    </w:rPr>
  </w:style>
  <w:style w:type="character" w:styleId="Hyperlink">
    <w:name w:val="Hyperlink"/>
    <w:basedOn w:val="DefaultParagraphFont"/>
    <w:uiPriority w:val="99"/>
    <w:unhideWhenUsed/>
    <w:rsid w:val="00AA2F89"/>
    <w:rPr>
      <w:color w:val="0563C1"/>
      <w:u w:val="single"/>
    </w:rPr>
  </w:style>
  <w:style w:type="paragraph" w:styleId="FootnoteText">
    <w:name w:val="footnote text"/>
    <w:basedOn w:val="Normal"/>
    <w:link w:val="FootnoteTextChar"/>
    <w:rsid w:val="00767D72"/>
  </w:style>
  <w:style w:type="character" w:customStyle="1" w:styleId="FootnoteTextChar">
    <w:name w:val="Footnote Text Char"/>
    <w:basedOn w:val="DefaultParagraphFont"/>
    <w:link w:val="FootnoteText"/>
    <w:rsid w:val="00767D72"/>
    <w:rPr>
      <w:sz w:val="24"/>
      <w:szCs w:val="24"/>
      <w:lang w:eastAsia="en-US"/>
    </w:rPr>
  </w:style>
  <w:style w:type="character" w:styleId="FootnoteReference">
    <w:name w:val="footnote reference"/>
    <w:basedOn w:val="DefaultParagraphFont"/>
    <w:rsid w:val="00767D72"/>
    <w:rPr>
      <w:vertAlign w:val="superscript"/>
    </w:rPr>
  </w:style>
  <w:style w:type="paragraph" w:styleId="NormalWeb">
    <w:name w:val="Normal (Web)"/>
    <w:basedOn w:val="Normal"/>
    <w:uiPriority w:val="99"/>
    <w:unhideWhenUsed/>
    <w:rsid w:val="00C52763"/>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01633A"/>
    <w:rPr>
      <w:i/>
      <w:iCs/>
    </w:rPr>
  </w:style>
  <w:style w:type="character" w:customStyle="1" w:styleId="Heading2Char">
    <w:name w:val="Heading 2 Char"/>
    <w:basedOn w:val="DefaultParagraphFont"/>
    <w:link w:val="Heading2"/>
    <w:rsid w:val="00570FDE"/>
    <w:rPr>
      <w:rFonts w:asciiTheme="majorHAnsi" w:eastAsiaTheme="majorEastAsia" w:hAnsiTheme="majorHAnsi" w:cstheme="majorBidi"/>
      <w:b/>
      <w:bCs/>
      <w:color w:val="4472C4" w:themeColor="accent1"/>
      <w:sz w:val="26"/>
      <w:szCs w:val="26"/>
      <w:lang w:eastAsia="en-US"/>
    </w:rPr>
  </w:style>
  <w:style w:type="paragraph" w:customStyle="1" w:styleId="text">
    <w:name w:val="text"/>
    <w:basedOn w:val="Normal"/>
    <w:rsid w:val="0018687D"/>
    <w:pPr>
      <w:spacing w:before="100" w:beforeAutospacing="1" w:after="100" w:afterAutospacing="1"/>
    </w:pPr>
    <w:rPr>
      <w:rFonts w:ascii="Times" w:hAnsi="Times"/>
      <w:sz w:val="20"/>
      <w:szCs w:val="20"/>
    </w:rPr>
  </w:style>
  <w:style w:type="character" w:customStyle="1" w:styleId="year">
    <w:name w:val="year"/>
    <w:basedOn w:val="DefaultParagraphFont"/>
    <w:rsid w:val="00413732"/>
  </w:style>
  <w:style w:type="character" w:customStyle="1" w:styleId="pub">
    <w:name w:val="pub"/>
    <w:basedOn w:val="DefaultParagraphFont"/>
    <w:rsid w:val="00413732"/>
  </w:style>
  <w:style w:type="character" w:customStyle="1" w:styleId="pages">
    <w:name w:val="pages"/>
    <w:basedOn w:val="DefaultParagraphFont"/>
    <w:rsid w:val="00413732"/>
  </w:style>
  <w:style w:type="character" w:customStyle="1" w:styleId="pagenumber0">
    <w:name w:val="pagenumber"/>
    <w:basedOn w:val="DefaultParagraphFont"/>
    <w:rsid w:val="00413732"/>
  </w:style>
  <w:style w:type="character" w:styleId="FollowedHyperlink">
    <w:name w:val="FollowedHyperlink"/>
    <w:basedOn w:val="DefaultParagraphFont"/>
    <w:rsid w:val="00343760"/>
    <w:rPr>
      <w:color w:val="954F72" w:themeColor="followedHyperlink"/>
      <w:u w:val="single"/>
    </w:rPr>
  </w:style>
  <w:style w:type="character" w:customStyle="1" w:styleId="QuoteChar">
    <w:name w:val="Quote Char"/>
    <w:aliases w:val="quote Char"/>
    <w:basedOn w:val="DefaultParagraphFont"/>
    <w:link w:val="Quote"/>
    <w:uiPriority w:val="29"/>
    <w:rsid w:val="0092328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0729">
      <w:bodyDiv w:val="1"/>
      <w:marLeft w:val="0"/>
      <w:marRight w:val="0"/>
      <w:marTop w:val="0"/>
      <w:marBottom w:val="0"/>
      <w:divBdr>
        <w:top w:val="none" w:sz="0" w:space="0" w:color="auto"/>
        <w:left w:val="none" w:sz="0" w:space="0" w:color="auto"/>
        <w:bottom w:val="none" w:sz="0" w:space="0" w:color="auto"/>
        <w:right w:val="none" w:sz="0" w:space="0" w:color="auto"/>
      </w:divBdr>
    </w:div>
    <w:div w:id="110705572">
      <w:bodyDiv w:val="1"/>
      <w:marLeft w:val="0"/>
      <w:marRight w:val="0"/>
      <w:marTop w:val="0"/>
      <w:marBottom w:val="0"/>
      <w:divBdr>
        <w:top w:val="none" w:sz="0" w:space="0" w:color="auto"/>
        <w:left w:val="none" w:sz="0" w:space="0" w:color="auto"/>
        <w:bottom w:val="none" w:sz="0" w:space="0" w:color="auto"/>
        <w:right w:val="none" w:sz="0" w:space="0" w:color="auto"/>
      </w:divBdr>
    </w:div>
    <w:div w:id="162280577">
      <w:bodyDiv w:val="1"/>
      <w:marLeft w:val="0"/>
      <w:marRight w:val="0"/>
      <w:marTop w:val="0"/>
      <w:marBottom w:val="0"/>
      <w:divBdr>
        <w:top w:val="none" w:sz="0" w:space="0" w:color="auto"/>
        <w:left w:val="none" w:sz="0" w:space="0" w:color="auto"/>
        <w:bottom w:val="none" w:sz="0" w:space="0" w:color="auto"/>
        <w:right w:val="none" w:sz="0" w:space="0" w:color="auto"/>
      </w:divBdr>
    </w:div>
    <w:div w:id="174420552">
      <w:bodyDiv w:val="1"/>
      <w:marLeft w:val="0"/>
      <w:marRight w:val="0"/>
      <w:marTop w:val="0"/>
      <w:marBottom w:val="0"/>
      <w:divBdr>
        <w:top w:val="none" w:sz="0" w:space="0" w:color="auto"/>
        <w:left w:val="none" w:sz="0" w:space="0" w:color="auto"/>
        <w:bottom w:val="none" w:sz="0" w:space="0" w:color="auto"/>
        <w:right w:val="none" w:sz="0" w:space="0" w:color="auto"/>
      </w:divBdr>
    </w:div>
    <w:div w:id="176771555">
      <w:bodyDiv w:val="1"/>
      <w:marLeft w:val="0"/>
      <w:marRight w:val="0"/>
      <w:marTop w:val="0"/>
      <w:marBottom w:val="0"/>
      <w:divBdr>
        <w:top w:val="none" w:sz="0" w:space="0" w:color="auto"/>
        <w:left w:val="none" w:sz="0" w:space="0" w:color="auto"/>
        <w:bottom w:val="none" w:sz="0" w:space="0" w:color="auto"/>
        <w:right w:val="none" w:sz="0" w:space="0" w:color="auto"/>
      </w:divBdr>
    </w:div>
    <w:div w:id="196358925">
      <w:bodyDiv w:val="1"/>
      <w:marLeft w:val="0"/>
      <w:marRight w:val="0"/>
      <w:marTop w:val="0"/>
      <w:marBottom w:val="0"/>
      <w:divBdr>
        <w:top w:val="none" w:sz="0" w:space="0" w:color="auto"/>
        <w:left w:val="none" w:sz="0" w:space="0" w:color="auto"/>
        <w:bottom w:val="none" w:sz="0" w:space="0" w:color="auto"/>
        <w:right w:val="none" w:sz="0" w:space="0" w:color="auto"/>
      </w:divBdr>
    </w:div>
    <w:div w:id="197856372">
      <w:bodyDiv w:val="1"/>
      <w:marLeft w:val="0"/>
      <w:marRight w:val="0"/>
      <w:marTop w:val="0"/>
      <w:marBottom w:val="0"/>
      <w:divBdr>
        <w:top w:val="none" w:sz="0" w:space="0" w:color="auto"/>
        <w:left w:val="none" w:sz="0" w:space="0" w:color="auto"/>
        <w:bottom w:val="none" w:sz="0" w:space="0" w:color="auto"/>
        <w:right w:val="none" w:sz="0" w:space="0" w:color="auto"/>
      </w:divBdr>
    </w:div>
    <w:div w:id="236745380">
      <w:bodyDiv w:val="1"/>
      <w:marLeft w:val="0"/>
      <w:marRight w:val="0"/>
      <w:marTop w:val="0"/>
      <w:marBottom w:val="0"/>
      <w:divBdr>
        <w:top w:val="none" w:sz="0" w:space="0" w:color="auto"/>
        <w:left w:val="none" w:sz="0" w:space="0" w:color="auto"/>
        <w:bottom w:val="none" w:sz="0" w:space="0" w:color="auto"/>
        <w:right w:val="none" w:sz="0" w:space="0" w:color="auto"/>
      </w:divBdr>
      <w:divsChild>
        <w:div w:id="1787892974">
          <w:marLeft w:val="0"/>
          <w:marRight w:val="0"/>
          <w:marTop w:val="0"/>
          <w:marBottom w:val="0"/>
          <w:divBdr>
            <w:top w:val="none" w:sz="0" w:space="0" w:color="auto"/>
            <w:left w:val="none" w:sz="0" w:space="0" w:color="auto"/>
            <w:bottom w:val="none" w:sz="0" w:space="0" w:color="auto"/>
            <w:right w:val="none" w:sz="0" w:space="0" w:color="auto"/>
          </w:divBdr>
        </w:div>
        <w:div w:id="1191800339">
          <w:marLeft w:val="0"/>
          <w:marRight w:val="0"/>
          <w:marTop w:val="0"/>
          <w:marBottom w:val="0"/>
          <w:divBdr>
            <w:top w:val="none" w:sz="0" w:space="0" w:color="auto"/>
            <w:left w:val="none" w:sz="0" w:space="0" w:color="auto"/>
            <w:bottom w:val="none" w:sz="0" w:space="0" w:color="auto"/>
            <w:right w:val="none" w:sz="0" w:space="0" w:color="auto"/>
          </w:divBdr>
          <w:divsChild>
            <w:div w:id="1964192710">
              <w:marLeft w:val="0"/>
              <w:marRight w:val="0"/>
              <w:marTop w:val="0"/>
              <w:marBottom w:val="0"/>
              <w:divBdr>
                <w:top w:val="none" w:sz="0" w:space="0" w:color="auto"/>
                <w:left w:val="none" w:sz="0" w:space="0" w:color="auto"/>
                <w:bottom w:val="none" w:sz="0" w:space="0" w:color="auto"/>
                <w:right w:val="none" w:sz="0" w:space="0" w:color="auto"/>
              </w:divBdr>
            </w:div>
          </w:divsChild>
        </w:div>
        <w:div w:id="2779200">
          <w:marLeft w:val="0"/>
          <w:marRight w:val="0"/>
          <w:marTop w:val="0"/>
          <w:marBottom w:val="0"/>
          <w:divBdr>
            <w:top w:val="none" w:sz="0" w:space="0" w:color="auto"/>
            <w:left w:val="none" w:sz="0" w:space="0" w:color="auto"/>
            <w:bottom w:val="none" w:sz="0" w:space="0" w:color="auto"/>
            <w:right w:val="none" w:sz="0" w:space="0" w:color="auto"/>
          </w:divBdr>
        </w:div>
      </w:divsChild>
    </w:div>
    <w:div w:id="263271169">
      <w:bodyDiv w:val="1"/>
      <w:marLeft w:val="0"/>
      <w:marRight w:val="0"/>
      <w:marTop w:val="0"/>
      <w:marBottom w:val="0"/>
      <w:divBdr>
        <w:top w:val="none" w:sz="0" w:space="0" w:color="auto"/>
        <w:left w:val="none" w:sz="0" w:space="0" w:color="auto"/>
        <w:bottom w:val="none" w:sz="0" w:space="0" w:color="auto"/>
        <w:right w:val="none" w:sz="0" w:space="0" w:color="auto"/>
      </w:divBdr>
    </w:div>
    <w:div w:id="274409109">
      <w:bodyDiv w:val="1"/>
      <w:marLeft w:val="0"/>
      <w:marRight w:val="0"/>
      <w:marTop w:val="0"/>
      <w:marBottom w:val="0"/>
      <w:divBdr>
        <w:top w:val="none" w:sz="0" w:space="0" w:color="auto"/>
        <w:left w:val="none" w:sz="0" w:space="0" w:color="auto"/>
        <w:bottom w:val="none" w:sz="0" w:space="0" w:color="auto"/>
        <w:right w:val="none" w:sz="0" w:space="0" w:color="auto"/>
      </w:divBdr>
      <w:divsChild>
        <w:div w:id="252980153">
          <w:marLeft w:val="0"/>
          <w:marRight w:val="0"/>
          <w:marTop w:val="0"/>
          <w:marBottom w:val="0"/>
          <w:divBdr>
            <w:top w:val="none" w:sz="0" w:space="0" w:color="auto"/>
            <w:left w:val="none" w:sz="0" w:space="0" w:color="auto"/>
            <w:bottom w:val="none" w:sz="0" w:space="0" w:color="auto"/>
            <w:right w:val="none" w:sz="0" w:space="0" w:color="auto"/>
          </w:divBdr>
        </w:div>
        <w:div w:id="1052997337">
          <w:marLeft w:val="0"/>
          <w:marRight w:val="0"/>
          <w:marTop w:val="0"/>
          <w:marBottom w:val="0"/>
          <w:divBdr>
            <w:top w:val="none" w:sz="0" w:space="0" w:color="auto"/>
            <w:left w:val="none" w:sz="0" w:space="0" w:color="auto"/>
            <w:bottom w:val="none" w:sz="0" w:space="0" w:color="auto"/>
            <w:right w:val="none" w:sz="0" w:space="0" w:color="auto"/>
          </w:divBdr>
          <w:divsChild>
            <w:div w:id="1733500070">
              <w:marLeft w:val="0"/>
              <w:marRight w:val="0"/>
              <w:marTop w:val="0"/>
              <w:marBottom w:val="0"/>
              <w:divBdr>
                <w:top w:val="none" w:sz="0" w:space="0" w:color="auto"/>
                <w:left w:val="none" w:sz="0" w:space="0" w:color="auto"/>
                <w:bottom w:val="none" w:sz="0" w:space="0" w:color="auto"/>
                <w:right w:val="none" w:sz="0" w:space="0" w:color="auto"/>
              </w:divBdr>
            </w:div>
            <w:div w:id="289484875">
              <w:marLeft w:val="0"/>
              <w:marRight w:val="0"/>
              <w:marTop w:val="0"/>
              <w:marBottom w:val="0"/>
              <w:divBdr>
                <w:top w:val="none" w:sz="0" w:space="0" w:color="auto"/>
                <w:left w:val="none" w:sz="0" w:space="0" w:color="auto"/>
                <w:bottom w:val="none" w:sz="0" w:space="0" w:color="auto"/>
                <w:right w:val="none" w:sz="0" w:space="0" w:color="auto"/>
              </w:divBdr>
            </w:div>
          </w:divsChild>
        </w:div>
        <w:div w:id="1927375880">
          <w:marLeft w:val="0"/>
          <w:marRight w:val="0"/>
          <w:marTop w:val="0"/>
          <w:marBottom w:val="0"/>
          <w:divBdr>
            <w:top w:val="none" w:sz="0" w:space="0" w:color="auto"/>
            <w:left w:val="none" w:sz="0" w:space="0" w:color="auto"/>
            <w:bottom w:val="none" w:sz="0" w:space="0" w:color="auto"/>
            <w:right w:val="none" w:sz="0" w:space="0" w:color="auto"/>
          </w:divBdr>
          <w:divsChild>
            <w:div w:id="343871274">
              <w:marLeft w:val="0"/>
              <w:marRight w:val="0"/>
              <w:marTop w:val="0"/>
              <w:marBottom w:val="0"/>
              <w:divBdr>
                <w:top w:val="none" w:sz="0" w:space="0" w:color="auto"/>
                <w:left w:val="none" w:sz="0" w:space="0" w:color="auto"/>
                <w:bottom w:val="none" w:sz="0" w:space="0" w:color="auto"/>
                <w:right w:val="none" w:sz="0" w:space="0" w:color="auto"/>
              </w:divBdr>
            </w:div>
            <w:div w:id="14355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93059">
      <w:bodyDiv w:val="1"/>
      <w:marLeft w:val="0"/>
      <w:marRight w:val="0"/>
      <w:marTop w:val="0"/>
      <w:marBottom w:val="0"/>
      <w:divBdr>
        <w:top w:val="none" w:sz="0" w:space="0" w:color="auto"/>
        <w:left w:val="none" w:sz="0" w:space="0" w:color="auto"/>
        <w:bottom w:val="none" w:sz="0" w:space="0" w:color="auto"/>
        <w:right w:val="none" w:sz="0" w:space="0" w:color="auto"/>
      </w:divBdr>
    </w:div>
    <w:div w:id="311907124">
      <w:bodyDiv w:val="1"/>
      <w:marLeft w:val="0"/>
      <w:marRight w:val="0"/>
      <w:marTop w:val="0"/>
      <w:marBottom w:val="0"/>
      <w:divBdr>
        <w:top w:val="none" w:sz="0" w:space="0" w:color="auto"/>
        <w:left w:val="none" w:sz="0" w:space="0" w:color="auto"/>
        <w:bottom w:val="none" w:sz="0" w:space="0" w:color="auto"/>
        <w:right w:val="none" w:sz="0" w:space="0" w:color="auto"/>
      </w:divBdr>
    </w:div>
    <w:div w:id="350839035">
      <w:bodyDiv w:val="1"/>
      <w:marLeft w:val="0"/>
      <w:marRight w:val="0"/>
      <w:marTop w:val="0"/>
      <w:marBottom w:val="0"/>
      <w:divBdr>
        <w:top w:val="none" w:sz="0" w:space="0" w:color="auto"/>
        <w:left w:val="none" w:sz="0" w:space="0" w:color="auto"/>
        <w:bottom w:val="none" w:sz="0" w:space="0" w:color="auto"/>
        <w:right w:val="none" w:sz="0" w:space="0" w:color="auto"/>
      </w:divBdr>
    </w:div>
    <w:div w:id="379549922">
      <w:bodyDiv w:val="1"/>
      <w:marLeft w:val="0"/>
      <w:marRight w:val="0"/>
      <w:marTop w:val="0"/>
      <w:marBottom w:val="0"/>
      <w:divBdr>
        <w:top w:val="none" w:sz="0" w:space="0" w:color="auto"/>
        <w:left w:val="none" w:sz="0" w:space="0" w:color="auto"/>
        <w:bottom w:val="none" w:sz="0" w:space="0" w:color="auto"/>
        <w:right w:val="none" w:sz="0" w:space="0" w:color="auto"/>
      </w:divBdr>
    </w:div>
    <w:div w:id="419446853">
      <w:bodyDiv w:val="1"/>
      <w:marLeft w:val="0"/>
      <w:marRight w:val="0"/>
      <w:marTop w:val="0"/>
      <w:marBottom w:val="0"/>
      <w:divBdr>
        <w:top w:val="none" w:sz="0" w:space="0" w:color="auto"/>
        <w:left w:val="none" w:sz="0" w:space="0" w:color="auto"/>
        <w:bottom w:val="none" w:sz="0" w:space="0" w:color="auto"/>
        <w:right w:val="none" w:sz="0" w:space="0" w:color="auto"/>
      </w:divBdr>
      <w:divsChild>
        <w:div w:id="1653484995">
          <w:marLeft w:val="0"/>
          <w:marRight w:val="0"/>
          <w:marTop w:val="0"/>
          <w:marBottom w:val="0"/>
          <w:divBdr>
            <w:top w:val="none" w:sz="0" w:space="0" w:color="auto"/>
            <w:left w:val="none" w:sz="0" w:space="0" w:color="auto"/>
            <w:bottom w:val="none" w:sz="0" w:space="0" w:color="auto"/>
            <w:right w:val="none" w:sz="0" w:space="0" w:color="auto"/>
          </w:divBdr>
          <w:divsChild>
            <w:div w:id="1154028380">
              <w:marLeft w:val="0"/>
              <w:marRight w:val="0"/>
              <w:marTop w:val="0"/>
              <w:marBottom w:val="0"/>
              <w:divBdr>
                <w:top w:val="none" w:sz="0" w:space="0" w:color="auto"/>
                <w:left w:val="none" w:sz="0" w:space="0" w:color="auto"/>
                <w:bottom w:val="none" w:sz="0" w:space="0" w:color="auto"/>
                <w:right w:val="none" w:sz="0" w:space="0" w:color="auto"/>
              </w:divBdr>
            </w:div>
            <w:div w:id="1009720151">
              <w:marLeft w:val="0"/>
              <w:marRight w:val="0"/>
              <w:marTop w:val="0"/>
              <w:marBottom w:val="0"/>
              <w:divBdr>
                <w:top w:val="none" w:sz="0" w:space="0" w:color="auto"/>
                <w:left w:val="none" w:sz="0" w:space="0" w:color="auto"/>
                <w:bottom w:val="none" w:sz="0" w:space="0" w:color="auto"/>
                <w:right w:val="none" w:sz="0" w:space="0" w:color="auto"/>
              </w:divBdr>
            </w:div>
          </w:divsChild>
        </w:div>
        <w:div w:id="1804956904">
          <w:marLeft w:val="0"/>
          <w:marRight w:val="0"/>
          <w:marTop w:val="0"/>
          <w:marBottom w:val="0"/>
          <w:divBdr>
            <w:top w:val="none" w:sz="0" w:space="0" w:color="auto"/>
            <w:left w:val="none" w:sz="0" w:space="0" w:color="auto"/>
            <w:bottom w:val="none" w:sz="0" w:space="0" w:color="auto"/>
            <w:right w:val="none" w:sz="0" w:space="0" w:color="auto"/>
          </w:divBdr>
          <w:divsChild>
            <w:div w:id="631012843">
              <w:marLeft w:val="0"/>
              <w:marRight w:val="0"/>
              <w:marTop w:val="0"/>
              <w:marBottom w:val="0"/>
              <w:divBdr>
                <w:top w:val="none" w:sz="0" w:space="0" w:color="auto"/>
                <w:left w:val="none" w:sz="0" w:space="0" w:color="auto"/>
                <w:bottom w:val="none" w:sz="0" w:space="0" w:color="auto"/>
                <w:right w:val="none" w:sz="0" w:space="0" w:color="auto"/>
              </w:divBdr>
            </w:div>
            <w:div w:id="1540321391">
              <w:marLeft w:val="0"/>
              <w:marRight w:val="0"/>
              <w:marTop w:val="0"/>
              <w:marBottom w:val="0"/>
              <w:divBdr>
                <w:top w:val="none" w:sz="0" w:space="0" w:color="auto"/>
                <w:left w:val="none" w:sz="0" w:space="0" w:color="auto"/>
                <w:bottom w:val="none" w:sz="0" w:space="0" w:color="auto"/>
                <w:right w:val="none" w:sz="0" w:space="0" w:color="auto"/>
              </w:divBdr>
            </w:div>
          </w:divsChild>
        </w:div>
        <w:div w:id="87771224">
          <w:marLeft w:val="0"/>
          <w:marRight w:val="0"/>
          <w:marTop w:val="0"/>
          <w:marBottom w:val="0"/>
          <w:divBdr>
            <w:top w:val="none" w:sz="0" w:space="0" w:color="auto"/>
            <w:left w:val="none" w:sz="0" w:space="0" w:color="auto"/>
            <w:bottom w:val="none" w:sz="0" w:space="0" w:color="auto"/>
            <w:right w:val="none" w:sz="0" w:space="0" w:color="auto"/>
          </w:divBdr>
          <w:divsChild>
            <w:div w:id="524363951">
              <w:marLeft w:val="0"/>
              <w:marRight w:val="0"/>
              <w:marTop w:val="0"/>
              <w:marBottom w:val="0"/>
              <w:divBdr>
                <w:top w:val="none" w:sz="0" w:space="0" w:color="auto"/>
                <w:left w:val="none" w:sz="0" w:space="0" w:color="auto"/>
                <w:bottom w:val="none" w:sz="0" w:space="0" w:color="auto"/>
                <w:right w:val="none" w:sz="0" w:space="0" w:color="auto"/>
              </w:divBdr>
            </w:div>
            <w:div w:id="1304848338">
              <w:marLeft w:val="0"/>
              <w:marRight w:val="0"/>
              <w:marTop w:val="0"/>
              <w:marBottom w:val="0"/>
              <w:divBdr>
                <w:top w:val="none" w:sz="0" w:space="0" w:color="auto"/>
                <w:left w:val="none" w:sz="0" w:space="0" w:color="auto"/>
                <w:bottom w:val="none" w:sz="0" w:space="0" w:color="auto"/>
                <w:right w:val="none" w:sz="0" w:space="0" w:color="auto"/>
              </w:divBdr>
            </w:div>
          </w:divsChild>
        </w:div>
        <w:div w:id="1680962214">
          <w:marLeft w:val="0"/>
          <w:marRight w:val="0"/>
          <w:marTop w:val="0"/>
          <w:marBottom w:val="0"/>
          <w:divBdr>
            <w:top w:val="none" w:sz="0" w:space="0" w:color="auto"/>
            <w:left w:val="none" w:sz="0" w:space="0" w:color="auto"/>
            <w:bottom w:val="none" w:sz="0" w:space="0" w:color="auto"/>
            <w:right w:val="none" w:sz="0" w:space="0" w:color="auto"/>
          </w:divBdr>
        </w:div>
        <w:div w:id="1794131013">
          <w:marLeft w:val="0"/>
          <w:marRight w:val="0"/>
          <w:marTop w:val="0"/>
          <w:marBottom w:val="0"/>
          <w:divBdr>
            <w:top w:val="none" w:sz="0" w:space="0" w:color="auto"/>
            <w:left w:val="none" w:sz="0" w:space="0" w:color="auto"/>
            <w:bottom w:val="none" w:sz="0" w:space="0" w:color="auto"/>
            <w:right w:val="none" w:sz="0" w:space="0" w:color="auto"/>
          </w:divBdr>
        </w:div>
        <w:div w:id="1028675189">
          <w:marLeft w:val="0"/>
          <w:marRight w:val="0"/>
          <w:marTop w:val="0"/>
          <w:marBottom w:val="0"/>
          <w:divBdr>
            <w:top w:val="none" w:sz="0" w:space="0" w:color="auto"/>
            <w:left w:val="none" w:sz="0" w:space="0" w:color="auto"/>
            <w:bottom w:val="none" w:sz="0" w:space="0" w:color="auto"/>
            <w:right w:val="none" w:sz="0" w:space="0" w:color="auto"/>
          </w:divBdr>
          <w:divsChild>
            <w:div w:id="217130095">
              <w:marLeft w:val="0"/>
              <w:marRight w:val="0"/>
              <w:marTop w:val="0"/>
              <w:marBottom w:val="0"/>
              <w:divBdr>
                <w:top w:val="none" w:sz="0" w:space="0" w:color="auto"/>
                <w:left w:val="none" w:sz="0" w:space="0" w:color="auto"/>
                <w:bottom w:val="none" w:sz="0" w:space="0" w:color="auto"/>
                <w:right w:val="none" w:sz="0" w:space="0" w:color="auto"/>
              </w:divBdr>
              <w:divsChild>
                <w:div w:id="883753900">
                  <w:marLeft w:val="0"/>
                  <w:marRight w:val="0"/>
                  <w:marTop w:val="0"/>
                  <w:marBottom w:val="0"/>
                  <w:divBdr>
                    <w:top w:val="none" w:sz="0" w:space="0" w:color="auto"/>
                    <w:left w:val="none" w:sz="0" w:space="0" w:color="auto"/>
                    <w:bottom w:val="none" w:sz="0" w:space="0" w:color="auto"/>
                    <w:right w:val="none" w:sz="0" w:space="0" w:color="auto"/>
                  </w:divBdr>
                </w:div>
                <w:div w:id="1866940844">
                  <w:marLeft w:val="0"/>
                  <w:marRight w:val="0"/>
                  <w:marTop w:val="0"/>
                  <w:marBottom w:val="0"/>
                  <w:divBdr>
                    <w:top w:val="none" w:sz="0" w:space="0" w:color="auto"/>
                    <w:left w:val="none" w:sz="0" w:space="0" w:color="auto"/>
                    <w:bottom w:val="none" w:sz="0" w:space="0" w:color="auto"/>
                    <w:right w:val="none" w:sz="0" w:space="0" w:color="auto"/>
                  </w:divBdr>
                </w:div>
                <w:div w:id="20070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1981">
          <w:marLeft w:val="0"/>
          <w:marRight w:val="0"/>
          <w:marTop w:val="0"/>
          <w:marBottom w:val="0"/>
          <w:divBdr>
            <w:top w:val="none" w:sz="0" w:space="0" w:color="auto"/>
            <w:left w:val="none" w:sz="0" w:space="0" w:color="auto"/>
            <w:bottom w:val="none" w:sz="0" w:space="0" w:color="auto"/>
            <w:right w:val="none" w:sz="0" w:space="0" w:color="auto"/>
          </w:divBdr>
          <w:divsChild>
            <w:div w:id="1875267439">
              <w:marLeft w:val="0"/>
              <w:marRight w:val="0"/>
              <w:marTop w:val="0"/>
              <w:marBottom w:val="0"/>
              <w:divBdr>
                <w:top w:val="none" w:sz="0" w:space="0" w:color="auto"/>
                <w:left w:val="none" w:sz="0" w:space="0" w:color="auto"/>
                <w:bottom w:val="none" w:sz="0" w:space="0" w:color="auto"/>
                <w:right w:val="none" w:sz="0" w:space="0" w:color="auto"/>
              </w:divBdr>
              <w:divsChild>
                <w:div w:id="1951662803">
                  <w:marLeft w:val="0"/>
                  <w:marRight w:val="0"/>
                  <w:marTop w:val="0"/>
                  <w:marBottom w:val="0"/>
                  <w:divBdr>
                    <w:top w:val="none" w:sz="0" w:space="0" w:color="auto"/>
                    <w:left w:val="none" w:sz="0" w:space="0" w:color="auto"/>
                    <w:bottom w:val="none" w:sz="0" w:space="0" w:color="auto"/>
                    <w:right w:val="none" w:sz="0" w:space="0" w:color="auto"/>
                  </w:divBdr>
                </w:div>
                <w:div w:id="1502355693">
                  <w:marLeft w:val="0"/>
                  <w:marRight w:val="0"/>
                  <w:marTop w:val="0"/>
                  <w:marBottom w:val="0"/>
                  <w:divBdr>
                    <w:top w:val="none" w:sz="0" w:space="0" w:color="auto"/>
                    <w:left w:val="none" w:sz="0" w:space="0" w:color="auto"/>
                    <w:bottom w:val="none" w:sz="0" w:space="0" w:color="auto"/>
                    <w:right w:val="none" w:sz="0" w:space="0" w:color="auto"/>
                  </w:divBdr>
                </w:div>
                <w:div w:id="10255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85346">
      <w:bodyDiv w:val="1"/>
      <w:marLeft w:val="0"/>
      <w:marRight w:val="0"/>
      <w:marTop w:val="0"/>
      <w:marBottom w:val="0"/>
      <w:divBdr>
        <w:top w:val="none" w:sz="0" w:space="0" w:color="auto"/>
        <w:left w:val="none" w:sz="0" w:space="0" w:color="auto"/>
        <w:bottom w:val="none" w:sz="0" w:space="0" w:color="auto"/>
        <w:right w:val="none" w:sz="0" w:space="0" w:color="auto"/>
      </w:divBdr>
      <w:divsChild>
        <w:div w:id="1998730314">
          <w:marLeft w:val="0"/>
          <w:marRight w:val="0"/>
          <w:marTop w:val="0"/>
          <w:marBottom w:val="0"/>
          <w:divBdr>
            <w:top w:val="none" w:sz="0" w:space="0" w:color="auto"/>
            <w:left w:val="none" w:sz="0" w:space="0" w:color="auto"/>
            <w:bottom w:val="none" w:sz="0" w:space="0" w:color="auto"/>
            <w:right w:val="none" w:sz="0" w:space="0" w:color="auto"/>
          </w:divBdr>
          <w:divsChild>
            <w:div w:id="639264889">
              <w:marLeft w:val="0"/>
              <w:marRight w:val="0"/>
              <w:marTop w:val="0"/>
              <w:marBottom w:val="0"/>
              <w:divBdr>
                <w:top w:val="none" w:sz="0" w:space="0" w:color="auto"/>
                <w:left w:val="none" w:sz="0" w:space="0" w:color="auto"/>
                <w:bottom w:val="none" w:sz="0" w:space="0" w:color="auto"/>
                <w:right w:val="none" w:sz="0" w:space="0" w:color="auto"/>
              </w:divBdr>
            </w:div>
            <w:div w:id="21288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4524">
      <w:bodyDiv w:val="1"/>
      <w:marLeft w:val="0"/>
      <w:marRight w:val="0"/>
      <w:marTop w:val="0"/>
      <w:marBottom w:val="0"/>
      <w:divBdr>
        <w:top w:val="none" w:sz="0" w:space="0" w:color="auto"/>
        <w:left w:val="none" w:sz="0" w:space="0" w:color="auto"/>
        <w:bottom w:val="none" w:sz="0" w:space="0" w:color="auto"/>
        <w:right w:val="none" w:sz="0" w:space="0" w:color="auto"/>
      </w:divBdr>
    </w:div>
    <w:div w:id="473765990">
      <w:bodyDiv w:val="1"/>
      <w:marLeft w:val="0"/>
      <w:marRight w:val="0"/>
      <w:marTop w:val="0"/>
      <w:marBottom w:val="0"/>
      <w:divBdr>
        <w:top w:val="none" w:sz="0" w:space="0" w:color="auto"/>
        <w:left w:val="none" w:sz="0" w:space="0" w:color="auto"/>
        <w:bottom w:val="none" w:sz="0" w:space="0" w:color="auto"/>
        <w:right w:val="none" w:sz="0" w:space="0" w:color="auto"/>
      </w:divBdr>
    </w:div>
    <w:div w:id="520516123">
      <w:bodyDiv w:val="1"/>
      <w:marLeft w:val="0"/>
      <w:marRight w:val="0"/>
      <w:marTop w:val="0"/>
      <w:marBottom w:val="0"/>
      <w:divBdr>
        <w:top w:val="none" w:sz="0" w:space="0" w:color="auto"/>
        <w:left w:val="none" w:sz="0" w:space="0" w:color="auto"/>
        <w:bottom w:val="none" w:sz="0" w:space="0" w:color="auto"/>
        <w:right w:val="none" w:sz="0" w:space="0" w:color="auto"/>
      </w:divBdr>
    </w:div>
    <w:div w:id="543102784">
      <w:bodyDiv w:val="1"/>
      <w:marLeft w:val="0"/>
      <w:marRight w:val="0"/>
      <w:marTop w:val="0"/>
      <w:marBottom w:val="0"/>
      <w:divBdr>
        <w:top w:val="none" w:sz="0" w:space="0" w:color="auto"/>
        <w:left w:val="none" w:sz="0" w:space="0" w:color="auto"/>
        <w:bottom w:val="none" w:sz="0" w:space="0" w:color="auto"/>
        <w:right w:val="none" w:sz="0" w:space="0" w:color="auto"/>
      </w:divBdr>
    </w:div>
    <w:div w:id="618730454">
      <w:bodyDiv w:val="1"/>
      <w:marLeft w:val="0"/>
      <w:marRight w:val="0"/>
      <w:marTop w:val="0"/>
      <w:marBottom w:val="0"/>
      <w:divBdr>
        <w:top w:val="none" w:sz="0" w:space="0" w:color="auto"/>
        <w:left w:val="none" w:sz="0" w:space="0" w:color="auto"/>
        <w:bottom w:val="none" w:sz="0" w:space="0" w:color="auto"/>
        <w:right w:val="none" w:sz="0" w:space="0" w:color="auto"/>
      </w:divBdr>
      <w:divsChild>
        <w:div w:id="879974340">
          <w:marLeft w:val="0"/>
          <w:marRight w:val="0"/>
          <w:marTop w:val="0"/>
          <w:marBottom w:val="0"/>
          <w:divBdr>
            <w:top w:val="none" w:sz="0" w:space="0" w:color="auto"/>
            <w:left w:val="none" w:sz="0" w:space="0" w:color="auto"/>
            <w:bottom w:val="none" w:sz="0" w:space="0" w:color="auto"/>
            <w:right w:val="none" w:sz="0" w:space="0" w:color="auto"/>
          </w:divBdr>
          <w:divsChild>
            <w:div w:id="135224198">
              <w:marLeft w:val="0"/>
              <w:marRight w:val="0"/>
              <w:marTop w:val="0"/>
              <w:marBottom w:val="0"/>
              <w:divBdr>
                <w:top w:val="none" w:sz="0" w:space="0" w:color="auto"/>
                <w:left w:val="none" w:sz="0" w:space="0" w:color="auto"/>
                <w:bottom w:val="none" w:sz="0" w:space="0" w:color="auto"/>
                <w:right w:val="none" w:sz="0" w:space="0" w:color="auto"/>
              </w:divBdr>
            </w:div>
            <w:div w:id="1318916479">
              <w:marLeft w:val="0"/>
              <w:marRight w:val="0"/>
              <w:marTop w:val="0"/>
              <w:marBottom w:val="0"/>
              <w:divBdr>
                <w:top w:val="none" w:sz="0" w:space="0" w:color="auto"/>
                <w:left w:val="none" w:sz="0" w:space="0" w:color="auto"/>
                <w:bottom w:val="none" w:sz="0" w:space="0" w:color="auto"/>
                <w:right w:val="none" w:sz="0" w:space="0" w:color="auto"/>
              </w:divBdr>
              <w:divsChild>
                <w:div w:id="1304775893">
                  <w:marLeft w:val="0"/>
                  <w:marRight w:val="0"/>
                  <w:marTop w:val="0"/>
                  <w:marBottom w:val="0"/>
                  <w:divBdr>
                    <w:top w:val="none" w:sz="0" w:space="0" w:color="auto"/>
                    <w:left w:val="none" w:sz="0" w:space="0" w:color="auto"/>
                    <w:bottom w:val="none" w:sz="0" w:space="0" w:color="auto"/>
                    <w:right w:val="none" w:sz="0" w:space="0" w:color="auto"/>
                  </w:divBdr>
                </w:div>
                <w:div w:id="884371693">
                  <w:marLeft w:val="0"/>
                  <w:marRight w:val="0"/>
                  <w:marTop w:val="0"/>
                  <w:marBottom w:val="0"/>
                  <w:divBdr>
                    <w:top w:val="none" w:sz="0" w:space="0" w:color="auto"/>
                    <w:left w:val="none" w:sz="0" w:space="0" w:color="auto"/>
                    <w:bottom w:val="none" w:sz="0" w:space="0" w:color="auto"/>
                    <w:right w:val="none" w:sz="0" w:space="0" w:color="auto"/>
                  </w:divBdr>
                </w:div>
              </w:divsChild>
            </w:div>
            <w:div w:id="178354909">
              <w:marLeft w:val="0"/>
              <w:marRight w:val="0"/>
              <w:marTop w:val="0"/>
              <w:marBottom w:val="0"/>
              <w:divBdr>
                <w:top w:val="none" w:sz="0" w:space="0" w:color="auto"/>
                <w:left w:val="none" w:sz="0" w:space="0" w:color="auto"/>
                <w:bottom w:val="none" w:sz="0" w:space="0" w:color="auto"/>
                <w:right w:val="none" w:sz="0" w:space="0" w:color="auto"/>
              </w:divBdr>
              <w:divsChild>
                <w:div w:id="1140223646">
                  <w:marLeft w:val="0"/>
                  <w:marRight w:val="0"/>
                  <w:marTop w:val="0"/>
                  <w:marBottom w:val="0"/>
                  <w:divBdr>
                    <w:top w:val="none" w:sz="0" w:space="0" w:color="auto"/>
                    <w:left w:val="none" w:sz="0" w:space="0" w:color="auto"/>
                    <w:bottom w:val="none" w:sz="0" w:space="0" w:color="auto"/>
                    <w:right w:val="none" w:sz="0" w:space="0" w:color="auto"/>
                  </w:divBdr>
                </w:div>
                <w:div w:id="1336959063">
                  <w:marLeft w:val="0"/>
                  <w:marRight w:val="0"/>
                  <w:marTop w:val="0"/>
                  <w:marBottom w:val="0"/>
                  <w:divBdr>
                    <w:top w:val="none" w:sz="0" w:space="0" w:color="auto"/>
                    <w:left w:val="none" w:sz="0" w:space="0" w:color="auto"/>
                    <w:bottom w:val="none" w:sz="0" w:space="0" w:color="auto"/>
                    <w:right w:val="none" w:sz="0" w:space="0" w:color="auto"/>
                  </w:divBdr>
                </w:div>
              </w:divsChild>
            </w:div>
            <w:div w:id="429358583">
              <w:marLeft w:val="0"/>
              <w:marRight w:val="0"/>
              <w:marTop w:val="0"/>
              <w:marBottom w:val="0"/>
              <w:divBdr>
                <w:top w:val="none" w:sz="0" w:space="0" w:color="auto"/>
                <w:left w:val="none" w:sz="0" w:space="0" w:color="auto"/>
                <w:bottom w:val="none" w:sz="0" w:space="0" w:color="auto"/>
                <w:right w:val="none" w:sz="0" w:space="0" w:color="auto"/>
              </w:divBdr>
            </w:div>
            <w:div w:id="325982751">
              <w:marLeft w:val="0"/>
              <w:marRight w:val="0"/>
              <w:marTop w:val="0"/>
              <w:marBottom w:val="0"/>
              <w:divBdr>
                <w:top w:val="none" w:sz="0" w:space="0" w:color="auto"/>
                <w:left w:val="none" w:sz="0" w:space="0" w:color="auto"/>
                <w:bottom w:val="none" w:sz="0" w:space="0" w:color="auto"/>
                <w:right w:val="none" w:sz="0" w:space="0" w:color="auto"/>
              </w:divBdr>
            </w:div>
          </w:divsChild>
        </w:div>
        <w:div w:id="560218174">
          <w:marLeft w:val="0"/>
          <w:marRight w:val="0"/>
          <w:marTop w:val="0"/>
          <w:marBottom w:val="0"/>
          <w:divBdr>
            <w:top w:val="none" w:sz="0" w:space="0" w:color="auto"/>
            <w:left w:val="none" w:sz="0" w:space="0" w:color="auto"/>
            <w:bottom w:val="none" w:sz="0" w:space="0" w:color="auto"/>
            <w:right w:val="none" w:sz="0" w:space="0" w:color="auto"/>
          </w:divBdr>
        </w:div>
        <w:div w:id="531919195">
          <w:marLeft w:val="0"/>
          <w:marRight w:val="0"/>
          <w:marTop w:val="0"/>
          <w:marBottom w:val="0"/>
          <w:divBdr>
            <w:top w:val="none" w:sz="0" w:space="0" w:color="auto"/>
            <w:left w:val="none" w:sz="0" w:space="0" w:color="auto"/>
            <w:bottom w:val="none" w:sz="0" w:space="0" w:color="auto"/>
            <w:right w:val="none" w:sz="0" w:space="0" w:color="auto"/>
          </w:divBdr>
        </w:div>
        <w:div w:id="1416433446">
          <w:marLeft w:val="0"/>
          <w:marRight w:val="0"/>
          <w:marTop w:val="0"/>
          <w:marBottom w:val="0"/>
          <w:divBdr>
            <w:top w:val="none" w:sz="0" w:space="0" w:color="auto"/>
            <w:left w:val="none" w:sz="0" w:space="0" w:color="auto"/>
            <w:bottom w:val="none" w:sz="0" w:space="0" w:color="auto"/>
            <w:right w:val="none" w:sz="0" w:space="0" w:color="auto"/>
          </w:divBdr>
        </w:div>
      </w:divsChild>
    </w:div>
    <w:div w:id="621964526">
      <w:bodyDiv w:val="1"/>
      <w:marLeft w:val="0"/>
      <w:marRight w:val="0"/>
      <w:marTop w:val="0"/>
      <w:marBottom w:val="0"/>
      <w:divBdr>
        <w:top w:val="none" w:sz="0" w:space="0" w:color="auto"/>
        <w:left w:val="none" w:sz="0" w:space="0" w:color="auto"/>
        <w:bottom w:val="none" w:sz="0" w:space="0" w:color="auto"/>
        <w:right w:val="none" w:sz="0" w:space="0" w:color="auto"/>
      </w:divBdr>
    </w:div>
    <w:div w:id="630668506">
      <w:bodyDiv w:val="1"/>
      <w:marLeft w:val="0"/>
      <w:marRight w:val="0"/>
      <w:marTop w:val="0"/>
      <w:marBottom w:val="0"/>
      <w:divBdr>
        <w:top w:val="none" w:sz="0" w:space="0" w:color="auto"/>
        <w:left w:val="none" w:sz="0" w:space="0" w:color="auto"/>
        <w:bottom w:val="none" w:sz="0" w:space="0" w:color="auto"/>
        <w:right w:val="none" w:sz="0" w:space="0" w:color="auto"/>
      </w:divBdr>
    </w:div>
    <w:div w:id="633559861">
      <w:bodyDiv w:val="1"/>
      <w:marLeft w:val="0"/>
      <w:marRight w:val="0"/>
      <w:marTop w:val="0"/>
      <w:marBottom w:val="0"/>
      <w:divBdr>
        <w:top w:val="none" w:sz="0" w:space="0" w:color="auto"/>
        <w:left w:val="none" w:sz="0" w:space="0" w:color="auto"/>
        <w:bottom w:val="none" w:sz="0" w:space="0" w:color="auto"/>
        <w:right w:val="none" w:sz="0" w:space="0" w:color="auto"/>
      </w:divBdr>
    </w:div>
    <w:div w:id="682632010">
      <w:bodyDiv w:val="1"/>
      <w:marLeft w:val="0"/>
      <w:marRight w:val="0"/>
      <w:marTop w:val="0"/>
      <w:marBottom w:val="0"/>
      <w:divBdr>
        <w:top w:val="none" w:sz="0" w:space="0" w:color="auto"/>
        <w:left w:val="none" w:sz="0" w:space="0" w:color="auto"/>
        <w:bottom w:val="none" w:sz="0" w:space="0" w:color="auto"/>
        <w:right w:val="none" w:sz="0" w:space="0" w:color="auto"/>
      </w:divBdr>
    </w:div>
    <w:div w:id="720790180">
      <w:bodyDiv w:val="1"/>
      <w:marLeft w:val="0"/>
      <w:marRight w:val="0"/>
      <w:marTop w:val="0"/>
      <w:marBottom w:val="0"/>
      <w:divBdr>
        <w:top w:val="none" w:sz="0" w:space="0" w:color="auto"/>
        <w:left w:val="none" w:sz="0" w:space="0" w:color="auto"/>
        <w:bottom w:val="none" w:sz="0" w:space="0" w:color="auto"/>
        <w:right w:val="none" w:sz="0" w:space="0" w:color="auto"/>
      </w:divBdr>
    </w:div>
    <w:div w:id="826282441">
      <w:bodyDiv w:val="1"/>
      <w:marLeft w:val="0"/>
      <w:marRight w:val="0"/>
      <w:marTop w:val="0"/>
      <w:marBottom w:val="0"/>
      <w:divBdr>
        <w:top w:val="none" w:sz="0" w:space="0" w:color="auto"/>
        <w:left w:val="none" w:sz="0" w:space="0" w:color="auto"/>
        <w:bottom w:val="none" w:sz="0" w:space="0" w:color="auto"/>
        <w:right w:val="none" w:sz="0" w:space="0" w:color="auto"/>
      </w:divBdr>
    </w:div>
    <w:div w:id="851339277">
      <w:bodyDiv w:val="1"/>
      <w:marLeft w:val="0"/>
      <w:marRight w:val="0"/>
      <w:marTop w:val="0"/>
      <w:marBottom w:val="0"/>
      <w:divBdr>
        <w:top w:val="none" w:sz="0" w:space="0" w:color="auto"/>
        <w:left w:val="none" w:sz="0" w:space="0" w:color="auto"/>
        <w:bottom w:val="none" w:sz="0" w:space="0" w:color="auto"/>
        <w:right w:val="none" w:sz="0" w:space="0" w:color="auto"/>
      </w:divBdr>
      <w:divsChild>
        <w:div w:id="252514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4147896">
      <w:bodyDiv w:val="1"/>
      <w:marLeft w:val="0"/>
      <w:marRight w:val="0"/>
      <w:marTop w:val="0"/>
      <w:marBottom w:val="0"/>
      <w:divBdr>
        <w:top w:val="none" w:sz="0" w:space="0" w:color="auto"/>
        <w:left w:val="none" w:sz="0" w:space="0" w:color="auto"/>
        <w:bottom w:val="none" w:sz="0" w:space="0" w:color="auto"/>
        <w:right w:val="none" w:sz="0" w:space="0" w:color="auto"/>
      </w:divBdr>
    </w:div>
    <w:div w:id="947156110">
      <w:bodyDiv w:val="1"/>
      <w:marLeft w:val="0"/>
      <w:marRight w:val="0"/>
      <w:marTop w:val="0"/>
      <w:marBottom w:val="0"/>
      <w:divBdr>
        <w:top w:val="none" w:sz="0" w:space="0" w:color="auto"/>
        <w:left w:val="none" w:sz="0" w:space="0" w:color="auto"/>
        <w:bottom w:val="none" w:sz="0" w:space="0" w:color="auto"/>
        <w:right w:val="none" w:sz="0" w:space="0" w:color="auto"/>
      </w:divBdr>
    </w:div>
    <w:div w:id="952860608">
      <w:bodyDiv w:val="1"/>
      <w:marLeft w:val="0"/>
      <w:marRight w:val="0"/>
      <w:marTop w:val="0"/>
      <w:marBottom w:val="0"/>
      <w:divBdr>
        <w:top w:val="none" w:sz="0" w:space="0" w:color="auto"/>
        <w:left w:val="none" w:sz="0" w:space="0" w:color="auto"/>
        <w:bottom w:val="none" w:sz="0" w:space="0" w:color="auto"/>
        <w:right w:val="none" w:sz="0" w:space="0" w:color="auto"/>
      </w:divBdr>
    </w:div>
    <w:div w:id="965042993">
      <w:bodyDiv w:val="1"/>
      <w:marLeft w:val="0"/>
      <w:marRight w:val="0"/>
      <w:marTop w:val="0"/>
      <w:marBottom w:val="0"/>
      <w:divBdr>
        <w:top w:val="none" w:sz="0" w:space="0" w:color="auto"/>
        <w:left w:val="none" w:sz="0" w:space="0" w:color="auto"/>
        <w:bottom w:val="none" w:sz="0" w:space="0" w:color="auto"/>
        <w:right w:val="none" w:sz="0" w:space="0" w:color="auto"/>
      </w:divBdr>
    </w:div>
    <w:div w:id="970863703">
      <w:bodyDiv w:val="1"/>
      <w:marLeft w:val="0"/>
      <w:marRight w:val="0"/>
      <w:marTop w:val="0"/>
      <w:marBottom w:val="0"/>
      <w:divBdr>
        <w:top w:val="none" w:sz="0" w:space="0" w:color="auto"/>
        <w:left w:val="none" w:sz="0" w:space="0" w:color="auto"/>
        <w:bottom w:val="none" w:sz="0" w:space="0" w:color="auto"/>
        <w:right w:val="none" w:sz="0" w:space="0" w:color="auto"/>
      </w:divBdr>
    </w:div>
    <w:div w:id="981425527">
      <w:bodyDiv w:val="1"/>
      <w:marLeft w:val="0"/>
      <w:marRight w:val="0"/>
      <w:marTop w:val="0"/>
      <w:marBottom w:val="0"/>
      <w:divBdr>
        <w:top w:val="none" w:sz="0" w:space="0" w:color="auto"/>
        <w:left w:val="none" w:sz="0" w:space="0" w:color="auto"/>
        <w:bottom w:val="none" w:sz="0" w:space="0" w:color="auto"/>
        <w:right w:val="none" w:sz="0" w:space="0" w:color="auto"/>
      </w:divBdr>
      <w:divsChild>
        <w:div w:id="1706099121">
          <w:marLeft w:val="0"/>
          <w:marRight w:val="0"/>
          <w:marTop w:val="0"/>
          <w:marBottom w:val="0"/>
          <w:divBdr>
            <w:top w:val="none" w:sz="0" w:space="0" w:color="auto"/>
            <w:left w:val="none" w:sz="0" w:space="0" w:color="auto"/>
            <w:bottom w:val="none" w:sz="0" w:space="0" w:color="auto"/>
            <w:right w:val="none" w:sz="0" w:space="0" w:color="auto"/>
          </w:divBdr>
        </w:div>
        <w:div w:id="1974366196">
          <w:marLeft w:val="0"/>
          <w:marRight w:val="0"/>
          <w:marTop w:val="0"/>
          <w:marBottom w:val="0"/>
          <w:divBdr>
            <w:top w:val="none" w:sz="0" w:space="0" w:color="auto"/>
            <w:left w:val="none" w:sz="0" w:space="0" w:color="auto"/>
            <w:bottom w:val="none" w:sz="0" w:space="0" w:color="auto"/>
            <w:right w:val="none" w:sz="0" w:space="0" w:color="auto"/>
          </w:divBdr>
          <w:divsChild>
            <w:div w:id="1807045360">
              <w:marLeft w:val="0"/>
              <w:marRight w:val="0"/>
              <w:marTop w:val="0"/>
              <w:marBottom w:val="0"/>
              <w:divBdr>
                <w:top w:val="none" w:sz="0" w:space="0" w:color="auto"/>
                <w:left w:val="none" w:sz="0" w:space="0" w:color="auto"/>
                <w:bottom w:val="none" w:sz="0" w:space="0" w:color="auto"/>
                <w:right w:val="none" w:sz="0" w:space="0" w:color="auto"/>
              </w:divBdr>
            </w:div>
            <w:div w:id="1366055445">
              <w:marLeft w:val="0"/>
              <w:marRight w:val="0"/>
              <w:marTop w:val="0"/>
              <w:marBottom w:val="0"/>
              <w:divBdr>
                <w:top w:val="none" w:sz="0" w:space="0" w:color="auto"/>
                <w:left w:val="none" w:sz="0" w:space="0" w:color="auto"/>
                <w:bottom w:val="none" w:sz="0" w:space="0" w:color="auto"/>
                <w:right w:val="none" w:sz="0" w:space="0" w:color="auto"/>
              </w:divBdr>
            </w:div>
          </w:divsChild>
        </w:div>
        <w:div w:id="48774373">
          <w:marLeft w:val="0"/>
          <w:marRight w:val="0"/>
          <w:marTop w:val="0"/>
          <w:marBottom w:val="0"/>
          <w:divBdr>
            <w:top w:val="none" w:sz="0" w:space="0" w:color="auto"/>
            <w:left w:val="none" w:sz="0" w:space="0" w:color="auto"/>
            <w:bottom w:val="none" w:sz="0" w:space="0" w:color="auto"/>
            <w:right w:val="none" w:sz="0" w:space="0" w:color="auto"/>
          </w:divBdr>
          <w:divsChild>
            <w:div w:id="388574056">
              <w:marLeft w:val="0"/>
              <w:marRight w:val="0"/>
              <w:marTop w:val="0"/>
              <w:marBottom w:val="0"/>
              <w:divBdr>
                <w:top w:val="none" w:sz="0" w:space="0" w:color="auto"/>
                <w:left w:val="none" w:sz="0" w:space="0" w:color="auto"/>
                <w:bottom w:val="none" w:sz="0" w:space="0" w:color="auto"/>
                <w:right w:val="none" w:sz="0" w:space="0" w:color="auto"/>
              </w:divBdr>
            </w:div>
            <w:div w:id="149240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25997">
      <w:bodyDiv w:val="1"/>
      <w:marLeft w:val="0"/>
      <w:marRight w:val="0"/>
      <w:marTop w:val="0"/>
      <w:marBottom w:val="0"/>
      <w:divBdr>
        <w:top w:val="none" w:sz="0" w:space="0" w:color="auto"/>
        <w:left w:val="none" w:sz="0" w:space="0" w:color="auto"/>
        <w:bottom w:val="none" w:sz="0" w:space="0" w:color="auto"/>
        <w:right w:val="none" w:sz="0" w:space="0" w:color="auto"/>
      </w:divBdr>
      <w:divsChild>
        <w:div w:id="1859346786">
          <w:marLeft w:val="0"/>
          <w:marRight w:val="0"/>
          <w:marTop w:val="0"/>
          <w:marBottom w:val="0"/>
          <w:divBdr>
            <w:top w:val="none" w:sz="0" w:space="0" w:color="auto"/>
            <w:left w:val="none" w:sz="0" w:space="0" w:color="auto"/>
            <w:bottom w:val="none" w:sz="0" w:space="0" w:color="auto"/>
            <w:right w:val="none" w:sz="0" w:space="0" w:color="auto"/>
          </w:divBdr>
          <w:divsChild>
            <w:div w:id="184175431">
              <w:marLeft w:val="0"/>
              <w:marRight w:val="0"/>
              <w:marTop w:val="0"/>
              <w:marBottom w:val="0"/>
              <w:divBdr>
                <w:top w:val="none" w:sz="0" w:space="0" w:color="auto"/>
                <w:left w:val="none" w:sz="0" w:space="0" w:color="auto"/>
                <w:bottom w:val="none" w:sz="0" w:space="0" w:color="auto"/>
                <w:right w:val="none" w:sz="0" w:space="0" w:color="auto"/>
              </w:divBdr>
            </w:div>
            <w:div w:id="22095541">
              <w:marLeft w:val="0"/>
              <w:marRight w:val="0"/>
              <w:marTop w:val="0"/>
              <w:marBottom w:val="0"/>
              <w:divBdr>
                <w:top w:val="none" w:sz="0" w:space="0" w:color="auto"/>
                <w:left w:val="none" w:sz="0" w:space="0" w:color="auto"/>
                <w:bottom w:val="none" w:sz="0" w:space="0" w:color="auto"/>
                <w:right w:val="none" w:sz="0" w:space="0" w:color="auto"/>
              </w:divBdr>
            </w:div>
          </w:divsChild>
        </w:div>
        <w:div w:id="1325738509">
          <w:marLeft w:val="0"/>
          <w:marRight w:val="0"/>
          <w:marTop w:val="0"/>
          <w:marBottom w:val="0"/>
          <w:divBdr>
            <w:top w:val="none" w:sz="0" w:space="0" w:color="auto"/>
            <w:left w:val="none" w:sz="0" w:space="0" w:color="auto"/>
            <w:bottom w:val="none" w:sz="0" w:space="0" w:color="auto"/>
            <w:right w:val="none" w:sz="0" w:space="0" w:color="auto"/>
          </w:divBdr>
          <w:divsChild>
            <w:div w:id="380980613">
              <w:marLeft w:val="0"/>
              <w:marRight w:val="0"/>
              <w:marTop w:val="0"/>
              <w:marBottom w:val="0"/>
              <w:divBdr>
                <w:top w:val="none" w:sz="0" w:space="0" w:color="auto"/>
                <w:left w:val="none" w:sz="0" w:space="0" w:color="auto"/>
                <w:bottom w:val="none" w:sz="0" w:space="0" w:color="auto"/>
                <w:right w:val="none" w:sz="0" w:space="0" w:color="auto"/>
              </w:divBdr>
            </w:div>
            <w:div w:id="165171127">
              <w:marLeft w:val="0"/>
              <w:marRight w:val="0"/>
              <w:marTop w:val="0"/>
              <w:marBottom w:val="0"/>
              <w:divBdr>
                <w:top w:val="none" w:sz="0" w:space="0" w:color="auto"/>
                <w:left w:val="none" w:sz="0" w:space="0" w:color="auto"/>
                <w:bottom w:val="none" w:sz="0" w:space="0" w:color="auto"/>
                <w:right w:val="none" w:sz="0" w:space="0" w:color="auto"/>
              </w:divBdr>
            </w:div>
          </w:divsChild>
        </w:div>
        <w:div w:id="1834224852">
          <w:marLeft w:val="0"/>
          <w:marRight w:val="0"/>
          <w:marTop w:val="0"/>
          <w:marBottom w:val="0"/>
          <w:divBdr>
            <w:top w:val="none" w:sz="0" w:space="0" w:color="auto"/>
            <w:left w:val="none" w:sz="0" w:space="0" w:color="auto"/>
            <w:bottom w:val="none" w:sz="0" w:space="0" w:color="auto"/>
            <w:right w:val="none" w:sz="0" w:space="0" w:color="auto"/>
          </w:divBdr>
          <w:divsChild>
            <w:div w:id="1016229938">
              <w:marLeft w:val="0"/>
              <w:marRight w:val="0"/>
              <w:marTop w:val="0"/>
              <w:marBottom w:val="0"/>
              <w:divBdr>
                <w:top w:val="none" w:sz="0" w:space="0" w:color="auto"/>
                <w:left w:val="none" w:sz="0" w:space="0" w:color="auto"/>
                <w:bottom w:val="none" w:sz="0" w:space="0" w:color="auto"/>
                <w:right w:val="none" w:sz="0" w:space="0" w:color="auto"/>
              </w:divBdr>
            </w:div>
            <w:div w:id="1583177854">
              <w:marLeft w:val="0"/>
              <w:marRight w:val="0"/>
              <w:marTop w:val="0"/>
              <w:marBottom w:val="0"/>
              <w:divBdr>
                <w:top w:val="none" w:sz="0" w:space="0" w:color="auto"/>
                <w:left w:val="none" w:sz="0" w:space="0" w:color="auto"/>
                <w:bottom w:val="none" w:sz="0" w:space="0" w:color="auto"/>
                <w:right w:val="none" w:sz="0" w:space="0" w:color="auto"/>
              </w:divBdr>
            </w:div>
          </w:divsChild>
        </w:div>
        <w:div w:id="960385405">
          <w:marLeft w:val="0"/>
          <w:marRight w:val="0"/>
          <w:marTop w:val="0"/>
          <w:marBottom w:val="0"/>
          <w:divBdr>
            <w:top w:val="none" w:sz="0" w:space="0" w:color="auto"/>
            <w:left w:val="none" w:sz="0" w:space="0" w:color="auto"/>
            <w:bottom w:val="none" w:sz="0" w:space="0" w:color="auto"/>
            <w:right w:val="none" w:sz="0" w:space="0" w:color="auto"/>
          </w:divBdr>
        </w:div>
        <w:div w:id="1316373604">
          <w:marLeft w:val="0"/>
          <w:marRight w:val="0"/>
          <w:marTop w:val="0"/>
          <w:marBottom w:val="0"/>
          <w:divBdr>
            <w:top w:val="none" w:sz="0" w:space="0" w:color="auto"/>
            <w:left w:val="none" w:sz="0" w:space="0" w:color="auto"/>
            <w:bottom w:val="none" w:sz="0" w:space="0" w:color="auto"/>
            <w:right w:val="none" w:sz="0" w:space="0" w:color="auto"/>
          </w:divBdr>
        </w:div>
      </w:divsChild>
    </w:div>
    <w:div w:id="1019694981">
      <w:bodyDiv w:val="1"/>
      <w:marLeft w:val="0"/>
      <w:marRight w:val="0"/>
      <w:marTop w:val="0"/>
      <w:marBottom w:val="0"/>
      <w:divBdr>
        <w:top w:val="none" w:sz="0" w:space="0" w:color="auto"/>
        <w:left w:val="none" w:sz="0" w:space="0" w:color="auto"/>
        <w:bottom w:val="none" w:sz="0" w:space="0" w:color="auto"/>
        <w:right w:val="none" w:sz="0" w:space="0" w:color="auto"/>
      </w:divBdr>
    </w:div>
    <w:div w:id="1037435815">
      <w:bodyDiv w:val="1"/>
      <w:marLeft w:val="0"/>
      <w:marRight w:val="0"/>
      <w:marTop w:val="0"/>
      <w:marBottom w:val="0"/>
      <w:divBdr>
        <w:top w:val="none" w:sz="0" w:space="0" w:color="auto"/>
        <w:left w:val="none" w:sz="0" w:space="0" w:color="auto"/>
        <w:bottom w:val="none" w:sz="0" w:space="0" w:color="auto"/>
        <w:right w:val="none" w:sz="0" w:space="0" w:color="auto"/>
      </w:divBdr>
    </w:div>
    <w:div w:id="1052195817">
      <w:bodyDiv w:val="1"/>
      <w:marLeft w:val="0"/>
      <w:marRight w:val="0"/>
      <w:marTop w:val="0"/>
      <w:marBottom w:val="0"/>
      <w:divBdr>
        <w:top w:val="none" w:sz="0" w:space="0" w:color="auto"/>
        <w:left w:val="none" w:sz="0" w:space="0" w:color="auto"/>
        <w:bottom w:val="none" w:sz="0" w:space="0" w:color="auto"/>
        <w:right w:val="none" w:sz="0" w:space="0" w:color="auto"/>
      </w:divBdr>
    </w:div>
    <w:div w:id="1104230343">
      <w:bodyDiv w:val="1"/>
      <w:marLeft w:val="0"/>
      <w:marRight w:val="0"/>
      <w:marTop w:val="0"/>
      <w:marBottom w:val="0"/>
      <w:divBdr>
        <w:top w:val="none" w:sz="0" w:space="0" w:color="auto"/>
        <w:left w:val="none" w:sz="0" w:space="0" w:color="auto"/>
        <w:bottom w:val="none" w:sz="0" w:space="0" w:color="auto"/>
        <w:right w:val="none" w:sz="0" w:space="0" w:color="auto"/>
      </w:divBdr>
    </w:div>
    <w:div w:id="1111634478">
      <w:bodyDiv w:val="1"/>
      <w:marLeft w:val="0"/>
      <w:marRight w:val="0"/>
      <w:marTop w:val="0"/>
      <w:marBottom w:val="0"/>
      <w:divBdr>
        <w:top w:val="none" w:sz="0" w:space="0" w:color="auto"/>
        <w:left w:val="none" w:sz="0" w:space="0" w:color="auto"/>
        <w:bottom w:val="none" w:sz="0" w:space="0" w:color="auto"/>
        <w:right w:val="none" w:sz="0" w:space="0" w:color="auto"/>
      </w:divBdr>
    </w:div>
    <w:div w:id="1173686765">
      <w:bodyDiv w:val="1"/>
      <w:marLeft w:val="0"/>
      <w:marRight w:val="0"/>
      <w:marTop w:val="0"/>
      <w:marBottom w:val="0"/>
      <w:divBdr>
        <w:top w:val="none" w:sz="0" w:space="0" w:color="auto"/>
        <w:left w:val="none" w:sz="0" w:space="0" w:color="auto"/>
        <w:bottom w:val="none" w:sz="0" w:space="0" w:color="auto"/>
        <w:right w:val="none" w:sz="0" w:space="0" w:color="auto"/>
      </w:divBdr>
    </w:div>
    <w:div w:id="1218517365">
      <w:bodyDiv w:val="1"/>
      <w:marLeft w:val="0"/>
      <w:marRight w:val="0"/>
      <w:marTop w:val="0"/>
      <w:marBottom w:val="0"/>
      <w:divBdr>
        <w:top w:val="none" w:sz="0" w:space="0" w:color="auto"/>
        <w:left w:val="none" w:sz="0" w:space="0" w:color="auto"/>
        <w:bottom w:val="none" w:sz="0" w:space="0" w:color="auto"/>
        <w:right w:val="none" w:sz="0" w:space="0" w:color="auto"/>
      </w:divBdr>
    </w:div>
    <w:div w:id="1228876393">
      <w:bodyDiv w:val="1"/>
      <w:marLeft w:val="0"/>
      <w:marRight w:val="0"/>
      <w:marTop w:val="0"/>
      <w:marBottom w:val="0"/>
      <w:divBdr>
        <w:top w:val="none" w:sz="0" w:space="0" w:color="auto"/>
        <w:left w:val="none" w:sz="0" w:space="0" w:color="auto"/>
        <w:bottom w:val="none" w:sz="0" w:space="0" w:color="auto"/>
        <w:right w:val="none" w:sz="0" w:space="0" w:color="auto"/>
      </w:divBdr>
    </w:div>
    <w:div w:id="1233272636">
      <w:bodyDiv w:val="1"/>
      <w:marLeft w:val="0"/>
      <w:marRight w:val="0"/>
      <w:marTop w:val="0"/>
      <w:marBottom w:val="0"/>
      <w:divBdr>
        <w:top w:val="none" w:sz="0" w:space="0" w:color="auto"/>
        <w:left w:val="none" w:sz="0" w:space="0" w:color="auto"/>
        <w:bottom w:val="none" w:sz="0" w:space="0" w:color="auto"/>
        <w:right w:val="none" w:sz="0" w:space="0" w:color="auto"/>
      </w:divBdr>
      <w:divsChild>
        <w:div w:id="853421868">
          <w:marLeft w:val="0"/>
          <w:marRight w:val="0"/>
          <w:marTop w:val="0"/>
          <w:marBottom w:val="0"/>
          <w:divBdr>
            <w:top w:val="none" w:sz="0" w:space="0" w:color="auto"/>
            <w:left w:val="none" w:sz="0" w:space="0" w:color="auto"/>
            <w:bottom w:val="none" w:sz="0" w:space="0" w:color="auto"/>
            <w:right w:val="none" w:sz="0" w:space="0" w:color="auto"/>
          </w:divBdr>
        </w:div>
        <w:div w:id="1474637764">
          <w:marLeft w:val="0"/>
          <w:marRight w:val="0"/>
          <w:marTop w:val="0"/>
          <w:marBottom w:val="0"/>
          <w:divBdr>
            <w:top w:val="none" w:sz="0" w:space="0" w:color="auto"/>
            <w:left w:val="none" w:sz="0" w:space="0" w:color="auto"/>
            <w:bottom w:val="none" w:sz="0" w:space="0" w:color="auto"/>
            <w:right w:val="none" w:sz="0" w:space="0" w:color="auto"/>
          </w:divBdr>
          <w:divsChild>
            <w:div w:id="1325742199">
              <w:marLeft w:val="0"/>
              <w:marRight w:val="0"/>
              <w:marTop w:val="0"/>
              <w:marBottom w:val="0"/>
              <w:divBdr>
                <w:top w:val="none" w:sz="0" w:space="0" w:color="auto"/>
                <w:left w:val="none" w:sz="0" w:space="0" w:color="auto"/>
                <w:bottom w:val="none" w:sz="0" w:space="0" w:color="auto"/>
                <w:right w:val="none" w:sz="0" w:space="0" w:color="auto"/>
              </w:divBdr>
            </w:div>
          </w:divsChild>
        </w:div>
        <w:div w:id="236480701">
          <w:marLeft w:val="0"/>
          <w:marRight w:val="0"/>
          <w:marTop w:val="0"/>
          <w:marBottom w:val="0"/>
          <w:divBdr>
            <w:top w:val="none" w:sz="0" w:space="0" w:color="auto"/>
            <w:left w:val="none" w:sz="0" w:space="0" w:color="auto"/>
            <w:bottom w:val="none" w:sz="0" w:space="0" w:color="auto"/>
            <w:right w:val="none" w:sz="0" w:space="0" w:color="auto"/>
          </w:divBdr>
          <w:divsChild>
            <w:div w:id="374503943">
              <w:marLeft w:val="0"/>
              <w:marRight w:val="0"/>
              <w:marTop w:val="0"/>
              <w:marBottom w:val="0"/>
              <w:divBdr>
                <w:top w:val="none" w:sz="0" w:space="0" w:color="auto"/>
                <w:left w:val="none" w:sz="0" w:space="0" w:color="auto"/>
                <w:bottom w:val="none" w:sz="0" w:space="0" w:color="auto"/>
                <w:right w:val="none" w:sz="0" w:space="0" w:color="auto"/>
              </w:divBdr>
            </w:div>
          </w:divsChild>
        </w:div>
        <w:div w:id="866605370">
          <w:marLeft w:val="0"/>
          <w:marRight w:val="0"/>
          <w:marTop w:val="0"/>
          <w:marBottom w:val="0"/>
          <w:divBdr>
            <w:top w:val="none" w:sz="0" w:space="0" w:color="auto"/>
            <w:left w:val="none" w:sz="0" w:space="0" w:color="auto"/>
            <w:bottom w:val="none" w:sz="0" w:space="0" w:color="auto"/>
            <w:right w:val="none" w:sz="0" w:space="0" w:color="auto"/>
          </w:divBdr>
        </w:div>
        <w:div w:id="999893374">
          <w:marLeft w:val="0"/>
          <w:marRight w:val="0"/>
          <w:marTop w:val="0"/>
          <w:marBottom w:val="0"/>
          <w:divBdr>
            <w:top w:val="none" w:sz="0" w:space="0" w:color="auto"/>
            <w:left w:val="none" w:sz="0" w:space="0" w:color="auto"/>
            <w:bottom w:val="none" w:sz="0" w:space="0" w:color="auto"/>
            <w:right w:val="none" w:sz="0" w:space="0" w:color="auto"/>
          </w:divBdr>
          <w:divsChild>
            <w:div w:id="494566003">
              <w:marLeft w:val="0"/>
              <w:marRight w:val="0"/>
              <w:marTop w:val="0"/>
              <w:marBottom w:val="0"/>
              <w:divBdr>
                <w:top w:val="none" w:sz="0" w:space="0" w:color="auto"/>
                <w:left w:val="none" w:sz="0" w:space="0" w:color="auto"/>
                <w:bottom w:val="none" w:sz="0" w:space="0" w:color="auto"/>
                <w:right w:val="none" w:sz="0" w:space="0" w:color="auto"/>
              </w:divBdr>
            </w:div>
            <w:div w:id="658001603">
              <w:marLeft w:val="0"/>
              <w:marRight w:val="0"/>
              <w:marTop w:val="0"/>
              <w:marBottom w:val="0"/>
              <w:divBdr>
                <w:top w:val="none" w:sz="0" w:space="0" w:color="auto"/>
                <w:left w:val="none" w:sz="0" w:space="0" w:color="auto"/>
                <w:bottom w:val="none" w:sz="0" w:space="0" w:color="auto"/>
                <w:right w:val="none" w:sz="0" w:space="0" w:color="auto"/>
              </w:divBdr>
            </w:div>
          </w:divsChild>
        </w:div>
        <w:div w:id="1373385180">
          <w:marLeft w:val="0"/>
          <w:marRight w:val="0"/>
          <w:marTop w:val="0"/>
          <w:marBottom w:val="0"/>
          <w:divBdr>
            <w:top w:val="none" w:sz="0" w:space="0" w:color="auto"/>
            <w:left w:val="none" w:sz="0" w:space="0" w:color="auto"/>
            <w:bottom w:val="none" w:sz="0" w:space="0" w:color="auto"/>
            <w:right w:val="none" w:sz="0" w:space="0" w:color="auto"/>
          </w:divBdr>
          <w:divsChild>
            <w:div w:id="1356689543">
              <w:marLeft w:val="0"/>
              <w:marRight w:val="0"/>
              <w:marTop w:val="0"/>
              <w:marBottom w:val="0"/>
              <w:divBdr>
                <w:top w:val="none" w:sz="0" w:space="0" w:color="auto"/>
                <w:left w:val="none" w:sz="0" w:space="0" w:color="auto"/>
                <w:bottom w:val="none" w:sz="0" w:space="0" w:color="auto"/>
                <w:right w:val="none" w:sz="0" w:space="0" w:color="auto"/>
              </w:divBdr>
            </w:div>
            <w:div w:id="9984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75846">
      <w:bodyDiv w:val="1"/>
      <w:marLeft w:val="0"/>
      <w:marRight w:val="0"/>
      <w:marTop w:val="0"/>
      <w:marBottom w:val="0"/>
      <w:divBdr>
        <w:top w:val="none" w:sz="0" w:space="0" w:color="auto"/>
        <w:left w:val="none" w:sz="0" w:space="0" w:color="auto"/>
        <w:bottom w:val="none" w:sz="0" w:space="0" w:color="auto"/>
        <w:right w:val="none" w:sz="0" w:space="0" w:color="auto"/>
      </w:divBdr>
    </w:div>
    <w:div w:id="1297301540">
      <w:bodyDiv w:val="1"/>
      <w:marLeft w:val="0"/>
      <w:marRight w:val="0"/>
      <w:marTop w:val="0"/>
      <w:marBottom w:val="0"/>
      <w:divBdr>
        <w:top w:val="none" w:sz="0" w:space="0" w:color="auto"/>
        <w:left w:val="none" w:sz="0" w:space="0" w:color="auto"/>
        <w:bottom w:val="none" w:sz="0" w:space="0" w:color="auto"/>
        <w:right w:val="none" w:sz="0" w:space="0" w:color="auto"/>
      </w:divBdr>
    </w:div>
    <w:div w:id="1385063837">
      <w:bodyDiv w:val="1"/>
      <w:marLeft w:val="0"/>
      <w:marRight w:val="0"/>
      <w:marTop w:val="0"/>
      <w:marBottom w:val="0"/>
      <w:divBdr>
        <w:top w:val="none" w:sz="0" w:space="0" w:color="auto"/>
        <w:left w:val="none" w:sz="0" w:space="0" w:color="auto"/>
        <w:bottom w:val="none" w:sz="0" w:space="0" w:color="auto"/>
        <w:right w:val="none" w:sz="0" w:space="0" w:color="auto"/>
      </w:divBdr>
    </w:div>
    <w:div w:id="1399741793">
      <w:bodyDiv w:val="1"/>
      <w:marLeft w:val="0"/>
      <w:marRight w:val="0"/>
      <w:marTop w:val="0"/>
      <w:marBottom w:val="0"/>
      <w:divBdr>
        <w:top w:val="none" w:sz="0" w:space="0" w:color="auto"/>
        <w:left w:val="none" w:sz="0" w:space="0" w:color="auto"/>
        <w:bottom w:val="none" w:sz="0" w:space="0" w:color="auto"/>
        <w:right w:val="none" w:sz="0" w:space="0" w:color="auto"/>
      </w:divBdr>
    </w:div>
    <w:div w:id="1436747042">
      <w:bodyDiv w:val="1"/>
      <w:marLeft w:val="0"/>
      <w:marRight w:val="0"/>
      <w:marTop w:val="0"/>
      <w:marBottom w:val="0"/>
      <w:divBdr>
        <w:top w:val="none" w:sz="0" w:space="0" w:color="auto"/>
        <w:left w:val="none" w:sz="0" w:space="0" w:color="auto"/>
        <w:bottom w:val="none" w:sz="0" w:space="0" w:color="auto"/>
        <w:right w:val="none" w:sz="0" w:space="0" w:color="auto"/>
      </w:divBdr>
    </w:div>
    <w:div w:id="1520773863">
      <w:bodyDiv w:val="1"/>
      <w:marLeft w:val="0"/>
      <w:marRight w:val="0"/>
      <w:marTop w:val="0"/>
      <w:marBottom w:val="0"/>
      <w:divBdr>
        <w:top w:val="none" w:sz="0" w:space="0" w:color="auto"/>
        <w:left w:val="none" w:sz="0" w:space="0" w:color="auto"/>
        <w:bottom w:val="none" w:sz="0" w:space="0" w:color="auto"/>
        <w:right w:val="none" w:sz="0" w:space="0" w:color="auto"/>
      </w:divBdr>
    </w:div>
    <w:div w:id="1529293655">
      <w:bodyDiv w:val="1"/>
      <w:marLeft w:val="0"/>
      <w:marRight w:val="0"/>
      <w:marTop w:val="0"/>
      <w:marBottom w:val="0"/>
      <w:divBdr>
        <w:top w:val="none" w:sz="0" w:space="0" w:color="auto"/>
        <w:left w:val="none" w:sz="0" w:space="0" w:color="auto"/>
        <w:bottom w:val="none" w:sz="0" w:space="0" w:color="auto"/>
        <w:right w:val="none" w:sz="0" w:space="0" w:color="auto"/>
      </w:divBdr>
      <w:divsChild>
        <w:div w:id="174804429">
          <w:marLeft w:val="0"/>
          <w:marRight w:val="0"/>
          <w:marTop w:val="0"/>
          <w:marBottom w:val="0"/>
          <w:divBdr>
            <w:top w:val="none" w:sz="0" w:space="0" w:color="auto"/>
            <w:left w:val="none" w:sz="0" w:space="0" w:color="auto"/>
            <w:bottom w:val="none" w:sz="0" w:space="0" w:color="auto"/>
            <w:right w:val="none" w:sz="0" w:space="0" w:color="auto"/>
          </w:divBdr>
        </w:div>
        <w:div w:id="493112538">
          <w:marLeft w:val="0"/>
          <w:marRight w:val="0"/>
          <w:marTop w:val="0"/>
          <w:marBottom w:val="0"/>
          <w:divBdr>
            <w:top w:val="none" w:sz="0" w:space="0" w:color="auto"/>
            <w:left w:val="none" w:sz="0" w:space="0" w:color="auto"/>
            <w:bottom w:val="none" w:sz="0" w:space="0" w:color="auto"/>
            <w:right w:val="none" w:sz="0" w:space="0" w:color="auto"/>
          </w:divBdr>
          <w:divsChild>
            <w:div w:id="1242838641">
              <w:marLeft w:val="0"/>
              <w:marRight w:val="0"/>
              <w:marTop w:val="0"/>
              <w:marBottom w:val="0"/>
              <w:divBdr>
                <w:top w:val="none" w:sz="0" w:space="0" w:color="auto"/>
                <w:left w:val="none" w:sz="0" w:space="0" w:color="auto"/>
                <w:bottom w:val="none" w:sz="0" w:space="0" w:color="auto"/>
                <w:right w:val="none" w:sz="0" w:space="0" w:color="auto"/>
              </w:divBdr>
            </w:div>
          </w:divsChild>
        </w:div>
        <w:div w:id="961686670">
          <w:marLeft w:val="0"/>
          <w:marRight w:val="0"/>
          <w:marTop w:val="0"/>
          <w:marBottom w:val="0"/>
          <w:divBdr>
            <w:top w:val="none" w:sz="0" w:space="0" w:color="auto"/>
            <w:left w:val="none" w:sz="0" w:space="0" w:color="auto"/>
            <w:bottom w:val="none" w:sz="0" w:space="0" w:color="auto"/>
            <w:right w:val="none" w:sz="0" w:space="0" w:color="auto"/>
          </w:divBdr>
          <w:divsChild>
            <w:div w:id="1835606337">
              <w:marLeft w:val="0"/>
              <w:marRight w:val="0"/>
              <w:marTop w:val="0"/>
              <w:marBottom w:val="0"/>
              <w:divBdr>
                <w:top w:val="none" w:sz="0" w:space="0" w:color="auto"/>
                <w:left w:val="none" w:sz="0" w:space="0" w:color="auto"/>
                <w:bottom w:val="none" w:sz="0" w:space="0" w:color="auto"/>
                <w:right w:val="none" w:sz="0" w:space="0" w:color="auto"/>
              </w:divBdr>
            </w:div>
          </w:divsChild>
        </w:div>
        <w:div w:id="1647470180">
          <w:marLeft w:val="0"/>
          <w:marRight w:val="0"/>
          <w:marTop w:val="0"/>
          <w:marBottom w:val="0"/>
          <w:divBdr>
            <w:top w:val="none" w:sz="0" w:space="0" w:color="auto"/>
            <w:left w:val="none" w:sz="0" w:space="0" w:color="auto"/>
            <w:bottom w:val="none" w:sz="0" w:space="0" w:color="auto"/>
            <w:right w:val="none" w:sz="0" w:space="0" w:color="auto"/>
          </w:divBdr>
        </w:div>
        <w:div w:id="1812749408">
          <w:marLeft w:val="0"/>
          <w:marRight w:val="0"/>
          <w:marTop w:val="0"/>
          <w:marBottom w:val="0"/>
          <w:divBdr>
            <w:top w:val="none" w:sz="0" w:space="0" w:color="auto"/>
            <w:left w:val="none" w:sz="0" w:space="0" w:color="auto"/>
            <w:bottom w:val="none" w:sz="0" w:space="0" w:color="auto"/>
            <w:right w:val="none" w:sz="0" w:space="0" w:color="auto"/>
          </w:divBdr>
          <w:divsChild>
            <w:div w:id="742068629">
              <w:marLeft w:val="0"/>
              <w:marRight w:val="0"/>
              <w:marTop w:val="0"/>
              <w:marBottom w:val="0"/>
              <w:divBdr>
                <w:top w:val="none" w:sz="0" w:space="0" w:color="auto"/>
                <w:left w:val="none" w:sz="0" w:space="0" w:color="auto"/>
                <w:bottom w:val="none" w:sz="0" w:space="0" w:color="auto"/>
                <w:right w:val="none" w:sz="0" w:space="0" w:color="auto"/>
              </w:divBdr>
            </w:div>
            <w:div w:id="239799496">
              <w:marLeft w:val="0"/>
              <w:marRight w:val="0"/>
              <w:marTop w:val="0"/>
              <w:marBottom w:val="0"/>
              <w:divBdr>
                <w:top w:val="none" w:sz="0" w:space="0" w:color="auto"/>
                <w:left w:val="none" w:sz="0" w:space="0" w:color="auto"/>
                <w:bottom w:val="none" w:sz="0" w:space="0" w:color="auto"/>
                <w:right w:val="none" w:sz="0" w:space="0" w:color="auto"/>
              </w:divBdr>
            </w:div>
          </w:divsChild>
        </w:div>
        <w:div w:id="530187694">
          <w:marLeft w:val="0"/>
          <w:marRight w:val="0"/>
          <w:marTop w:val="0"/>
          <w:marBottom w:val="0"/>
          <w:divBdr>
            <w:top w:val="none" w:sz="0" w:space="0" w:color="auto"/>
            <w:left w:val="none" w:sz="0" w:space="0" w:color="auto"/>
            <w:bottom w:val="none" w:sz="0" w:space="0" w:color="auto"/>
            <w:right w:val="none" w:sz="0" w:space="0" w:color="auto"/>
          </w:divBdr>
          <w:divsChild>
            <w:div w:id="1653287766">
              <w:marLeft w:val="0"/>
              <w:marRight w:val="0"/>
              <w:marTop w:val="0"/>
              <w:marBottom w:val="0"/>
              <w:divBdr>
                <w:top w:val="none" w:sz="0" w:space="0" w:color="auto"/>
                <w:left w:val="none" w:sz="0" w:space="0" w:color="auto"/>
                <w:bottom w:val="none" w:sz="0" w:space="0" w:color="auto"/>
                <w:right w:val="none" w:sz="0" w:space="0" w:color="auto"/>
              </w:divBdr>
            </w:div>
            <w:div w:id="6354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81593">
      <w:bodyDiv w:val="1"/>
      <w:marLeft w:val="0"/>
      <w:marRight w:val="0"/>
      <w:marTop w:val="0"/>
      <w:marBottom w:val="0"/>
      <w:divBdr>
        <w:top w:val="none" w:sz="0" w:space="0" w:color="auto"/>
        <w:left w:val="none" w:sz="0" w:space="0" w:color="auto"/>
        <w:bottom w:val="none" w:sz="0" w:space="0" w:color="auto"/>
        <w:right w:val="none" w:sz="0" w:space="0" w:color="auto"/>
      </w:divBdr>
    </w:div>
    <w:div w:id="1558128722">
      <w:bodyDiv w:val="1"/>
      <w:marLeft w:val="0"/>
      <w:marRight w:val="0"/>
      <w:marTop w:val="0"/>
      <w:marBottom w:val="0"/>
      <w:divBdr>
        <w:top w:val="none" w:sz="0" w:space="0" w:color="auto"/>
        <w:left w:val="none" w:sz="0" w:space="0" w:color="auto"/>
        <w:bottom w:val="none" w:sz="0" w:space="0" w:color="auto"/>
        <w:right w:val="none" w:sz="0" w:space="0" w:color="auto"/>
      </w:divBdr>
    </w:div>
    <w:div w:id="1597589015">
      <w:bodyDiv w:val="1"/>
      <w:marLeft w:val="0"/>
      <w:marRight w:val="0"/>
      <w:marTop w:val="0"/>
      <w:marBottom w:val="0"/>
      <w:divBdr>
        <w:top w:val="none" w:sz="0" w:space="0" w:color="auto"/>
        <w:left w:val="none" w:sz="0" w:space="0" w:color="auto"/>
        <w:bottom w:val="none" w:sz="0" w:space="0" w:color="auto"/>
        <w:right w:val="none" w:sz="0" w:space="0" w:color="auto"/>
      </w:divBdr>
      <w:divsChild>
        <w:div w:id="2028675483">
          <w:marLeft w:val="0"/>
          <w:marRight w:val="0"/>
          <w:marTop w:val="0"/>
          <w:marBottom w:val="0"/>
          <w:divBdr>
            <w:top w:val="none" w:sz="0" w:space="0" w:color="auto"/>
            <w:left w:val="none" w:sz="0" w:space="0" w:color="auto"/>
            <w:bottom w:val="none" w:sz="0" w:space="0" w:color="auto"/>
            <w:right w:val="none" w:sz="0" w:space="0" w:color="auto"/>
          </w:divBdr>
        </w:div>
        <w:div w:id="753285154">
          <w:marLeft w:val="0"/>
          <w:marRight w:val="0"/>
          <w:marTop w:val="0"/>
          <w:marBottom w:val="0"/>
          <w:divBdr>
            <w:top w:val="none" w:sz="0" w:space="0" w:color="auto"/>
            <w:left w:val="none" w:sz="0" w:space="0" w:color="auto"/>
            <w:bottom w:val="none" w:sz="0" w:space="0" w:color="auto"/>
            <w:right w:val="none" w:sz="0" w:space="0" w:color="auto"/>
          </w:divBdr>
          <w:divsChild>
            <w:div w:id="911237335">
              <w:marLeft w:val="0"/>
              <w:marRight w:val="0"/>
              <w:marTop w:val="0"/>
              <w:marBottom w:val="0"/>
              <w:divBdr>
                <w:top w:val="none" w:sz="0" w:space="0" w:color="auto"/>
                <w:left w:val="none" w:sz="0" w:space="0" w:color="auto"/>
                <w:bottom w:val="none" w:sz="0" w:space="0" w:color="auto"/>
                <w:right w:val="none" w:sz="0" w:space="0" w:color="auto"/>
              </w:divBdr>
            </w:div>
          </w:divsChild>
        </w:div>
        <w:div w:id="2020084739">
          <w:marLeft w:val="0"/>
          <w:marRight w:val="0"/>
          <w:marTop w:val="0"/>
          <w:marBottom w:val="0"/>
          <w:divBdr>
            <w:top w:val="none" w:sz="0" w:space="0" w:color="auto"/>
            <w:left w:val="none" w:sz="0" w:space="0" w:color="auto"/>
            <w:bottom w:val="none" w:sz="0" w:space="0" w:color="auto"/>
            <w:right w:val="none" w:sz="0" w:space="0" w:color="auto"/>
          </w:divBdr>
          <w:divsChild>
            <w:div w:id="216431764">
              <w:marLeft w:val="0"/>
              <w:marRight w:val="0"/>
              <w:marTop w:val="0"/>
              <w:marBottom w:val="0"/>
              <w:divBdr>
                <w:top w:val="none" w:sz="0" w:space="0" w:color="auto"/>
                <w:left w:val="none" w:sz="0" w:space="0" w:color="auto"/>
                <w:bottom w:val="none" w:sz="0" w:space="0" w:color="auto"/>
                <w:right w:val="none" w:sz="0" w:space="0" w:color="auto"/>
              </w:divBdr>
            </w:div>
          </w:divsChild>
        </w:div>
        <w:div w:id="1650286623">
          <w:marLeft w:val="0"/>
          <w:marRight w:val="0"/>
          <w:marTop w:val="0"/>
          <w:marBottom w:val="0"/>
          <w:divBdr>
            <w:top w:val="none" w:sz="0" w:space="0" w:color="auto"/>
            <w:left w:val="none" w:sz="0" w:space="0" w:color="auto"/>
            <w:bottom w:val="none" w:sz="0" w:space="0" w:color="auto"/>
            <w:right w:val="none" w:sz="0" w:space="0" w:color="auto"/>
          </w:divBdr>
        </w:div>
        <w:div w:id="1940797449">
          <w:marLeft w:val="0"/>
          <w:marRight w:val="0"/>
          <w:marTop w:val="0"/>
          <w:marBottom w:val="0"/>
          <w:divBdr>
            <w:top w:val="none" w:sz="0" w:space="0" w:color="auto"/>
            <w:left w:val="none" w:sz="0" w:space="0" w:color="auto"/>
            <w:bottom w:val="none" w:sz="0" w:space="0" w:color="auto"/>
            <w:right w:val="none" w:sz="0" w:space="0" w:color="auto"/>
          </w:divBdr>
          <w:divsChild>
            <w:div w:id="640044161">
              <w:marLeft w:val="0"/>
              <w:marRight w:val="0"/>
              <w:marTop w:val="0"/>
              <w:marBottom w:val="0"/>
              <w:divBdr>
                <w:top w:val="none" w:sz="0" w:space="0" w:color="auto"/>
                <w:left w:val="none" w:sz="0" w:space="0" w:color="auto"/>
                <w:bottom w:val="none" w:sz="0" w:space="0" w:color="auto"/>
                <w:right w:val="none" w:sz="0" w:space="0" w:color="auto"/>
              </w:divBdr>
            </w:div>
            <w:div w:id="355664859">
              <w:marLeft w:val="0"/>
              <w:marRight w:val="0"/>
              <w:marTop w:val="0"/>
              <w:marBottom w:val="0"/>
              <w:divBdr>
                <w:top w:val="none" w:sz="0" w:space="0" w:color="auto"/>
                <w:left w:val="none" w:sz="0" w:space="0" w:color="auto"/>
                <w:bottom w:val="none" w:sz="0" w:space="0" w:color="auto"/>
                <w:right w:val="none" w:sz="0" w:space="0" w:color="auto"/>
              </w:divBdr>
            </w:div>
          </w:divsChild>
        </w:div>
        <w:div w:id="2028823715">
          <w:marLeft w:val="0"/>
          <w:marRight w:val="0"/>
          <w:marTop w:val="0"/>
          <w:marBottom w:val="0"/>
          <w:divBdr>
            <w:top w:val="none" w:sz="0" w:space="0" w:color="auto"/>
            <w:left w:val="none" w:sz="0" w:space="0" w:color="auto"/>
            <w:bottom w:val="none" w:sz="0" w:space="0" w:color="auto"/>
            <w:right w:val="none" w:sz="0" w:space="0" w:color="auto"/>
          </w:divBdr>
          <w:divsChild>
            <w:div w:id="1420440480">
              <w:marLeft w:val="0"/>
              <w:marRight w:val="0"/>
              <w:marTop w:val="0"/>
              <w:marBottom w:val="0"/>
              <w:divBdr>
                <w:top w:val="none" w:sz="0" w:space="0" w:color="auto"/>
                <w:left w:val="none" w:sz="0" w:space="0" w:color="auto"/>
                <w:bottom w:val="none" w:sz="0" w:space="0" w:color="auto"/>
                <w:right w:val="none" w:sz="0" w:space="0" w:color="auto"/>
              </w:divBdr>
            </w:div>
            <w:div w:id="58880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76133">
      <w:bodyDiv w:val="1"/>
      <w:marLeft w:val="0"/>
      <w:marRight w:val="0"/>
      <w:marTop w:val="0"/>
      <w:marBottom w:val="0"/>
      <w:divBdr>
        <w:top w:val="none" w:sz="0" w:space="0" w:color="auto"/>
        <w:left w:val="none" w:sz="0" w:space="0" w:color="auto"/>
        <w:bottom w:val="none" w:sz="0" w:space="0" w:color="auto"/>
        <w:right w:val="none" w:sz="0" w:space="0" w:color="auto"/>
      </w:divBdr>
    </w:div>
    <w:div w:id="1673291010">
      <w:bodyDiv w:val="1"/>
      <w:marLeft w:val="0"/>
      <w:marRight w:val="0"/>
      <w:marTop w:val="0"/>
      <w:marBottom w:val="0"/>
      <w:divBdr>
        <w:top w:val="none" w:sz="0" w:space="0" w:color="auto"/>
        <w:left w:val="none" w:sz="0" w:space="0" w:color="auto"/>
        <w:bottom w:val="none" w:sz="0" w:space="0" w:color="auto"/>
        <w:right w:val="none" w:sz="0" w:space="0" w:color="auto"/>
      </w:divBdr>
      <w:divsChild>
        <w:div w:id="1937864705">
          <w:marLeft w:val="0"/>
          <w:marRight w:val="0"/>
          <w:marTop w:val="0"/>
          <w:marBottom w:val="0"/>
          <w:divBdr>
            <w:top w:val="none" w:sz="0" w:space="0" w:color="auto"/>
            <w:left w:val="none" w:sz="0" w:space="0" w:color="auto"/>
            <w:bottom w:val="none" w:sz="0" w:space="0" w:color="auto"/>
            <w:right w:val="none" w:sz="0" w:space="0" w:color="auto"/>
          </w:divBdr>
          <w:divsChild>
            <w:div w:id="360860128">
              <w:marLeft w:val="0"/>
              <w:marRight w:val="0"/>
              <w:marTop w:val="0"/>
              <w:marBottom w:val="0"/>
              <w:divBdr>
                <w:top w:val="none" w:sz="0" w:space="0" w:color="auto"/>
                <w:left w:val="none" w:sz="0" w:space="0" w:color="auto"/>
                <w:bottom w:val="none" w:sz="0" w:space="0" w:color="auto"/>
                <w:right w:val="none" w:sz="0" w:space="0" w:color="auto"/>
              </w:divBdr>
            </w:div>
            <w:div w:id="859397362">
              <w:marLeft w:val="0"/>
              <w:marRight w:val="0"/>
              <w:marTop w:val="0"/>
              <w:marBottom w:val="0"/>
              <w:divBdr>
                <w:top w:val="none" w:sz="0" w:space="0" w:color="auto"/>
                <w:left w:val="none" w:sz="0" w:space="0" w:color="auto"/>
                <w:bottom w:val="none" w:sz="0" w:space="0" w:color="auto"/>
                <w:right w:val="none" w:sz="0" w:space="0" w:color="auto"/>
              </w:divBdr>
              <w:divsChild>
                <w:div w:id="634262284">
                  <w:marLeft w:val="0"/>
                  <w:marRight w:val="0"/>
                  <w:marTop w:val="0"/>
                  <w:marBottom w:val="0"/>
                  <w:divBdr>
                    <w:top w:val="none" w:sz="0" w:space="0" w:color="auto"/>
                    <w:left w:val="none" w:sz="0" w:space="0" w:color="auto"/>
                    <w:bottom w:val="none" w:sz="0" w:space="0" w:color="auto"/>
                    <w:right w:val="none" w:sz="0" w:space="0" w:color="auto"/>
                  </w:divBdr>
                </w:div>
                <w:div w:id="1406881405">
                  <w:marLeft w:val="0"/>
                  <w:marRight w:val="0"/>
                  <w:marTop w:val="0"/>
                  <w:marBottom w:val="0"/>
                  <w:divBdr>
                    <w:top w:val="none" w:sz="0" w:space="0" w:color="auto"/>
                    <w:left w:val="none" w:sz="0" w:space="0" w:color="auto"/>
                    <w:bottom w:val="none" w:sz="0" w:space="0" w:color="auto"/>
                    <w:right w:val="none" w:sz="0" w:space="0" w:color="auto"/>
                  </w:divBdr>
                </w:div>
              </w:divsChild>
            </w:div>
            <w:div w:id="679165612">
              <w:marLeft w:val="0"/>
              <w:marRight w:val="0"/>
              <w:marTop w:val="0"/>
              <w:marBottom w:val="0"/>
              <w:divBdr>
                <w:top w:val="none" w:sz="0" w:space="0" w:color="auto"/>
                <w:left w:val="none" w:sz="0" w:space="0" w:color="auto"/>
                <w:bottom w:val="none" w:sz="0" w:space="0" w:color="auto"/>
                <w:right w:val="none" w:sz="0" w:space="0" w:color="auto"/>
              </w:divBdr>
              <w:divsChild>
                <w:div w:id="1094859411">
                  <w:marLeft w:val="0"/>
                  <w:marRight w:val="0"/>
                  <w:marTop w:val="0"/>
                  <w:marBottom w:val="0"/>
                  <w:divBdr>
                    <w:top w:val="none" w:sz="0" w:space="0" w:color="auto"/>
                    <w:left w:val="none" w:sz="0" w:space="0" w:color="auto"/>
                    <w:bottom w:val="none" w:sz="0" w:space="0" w:color="auto"/>
                    <w:right w:val="none" w:sz="0" w:space="0" w:color="auto"/>
                  </w:divBdr>
                </w:div>
                <w:div w:id="935938648">
                  <w:marLeft w:val="0"/>
                  <w:marRight w:val="0"/>
                  <w:marTop w:val="0"/>
                  <w:marBottom w:val="0"/>
                  <w:divBdr>
                    <w:top w:val="none" w:sz="0" w:space="0" w:color="auto"/>
                    <w:left w:val="none" w:sz="0" w:space="0" w:color="auto"/>
                    <w:bottom w:val="none" w:sz="0" w:space="0" w:color="auto"/>
                    <w:right w:val="none" w:sz="0" w:space="0" w:color="auto"/>
                  </w:divBdr>
                </w:div>
              </w:divsChild>
            </w:div>
            <w:div w:id="2025016738">
              <w:marLeft w:val="0"/>
              <w:marRight w:val="0"/>
              <w:marTop w:val="0"/>
              <w:marBottom w:val="0"/>
              <w:divBdr>
                <w:top w:val="none" w:sz="0" w:space="0" w:color="auto"/>
                <w:left w:val="none" w:sz="0" w:space="0" w:color="auto"/>
                <w:bottom w:val="none" w:sz="0" w:space="0" w:color="auto"/>
                <w:right w:val="none" w:sz="0" w:space="0" w:color="auto"/>
              </w:divBdr>
            </w:div>
            <w:div w:id="1763188351">
              <w:marLeft w:val="0"/>
              <w:marRight w:val="0"/>
              <w:marTop w:val="0"/>
              <w:marBottom w:val="0"/>
              <w:divBdr>
                <w:top w:val="none" w:sz="0" w:space="0" w:color="auto"/>
                <w:left w:val="none" w:sz="0" w:space="0" w:color="auto"/>
                <w:bottom w:val="none" w:sz="0" w:space="0" w:color="auto"/>
                <w:right w:val="none" w:sz="0" w:space="0" w:color="auto"/>
              </w:divBdr>
            </w:div>
          </w:divsChild>
        </w:div>
        <w:div w:id="2101369157">
          <w:marLeft w:val="0"/>
          <w:marRight w:val="0"/>
          <w:marTop w:val="0"/>
          <w:marBottom w:val="0"/>
          <w:divBdr>
            <w:top w:val="none" w:sz="0" w:space="0" w:color="auto"/>
            <w:left w:val="none" w:sz="0" w:space="0" w:color="auto"/>
            <w:bottom w:val="none" w:sz="0" w:space="0" w:color="auto"/>
            <w:right w:val="none" w:sz="0" w:space="0" w:color="auto"/>
          </w:divBdr>
        </w:div>
        <w:div w:id="1543246686">
          <w:marLeft w:val="0"/>
          <w:marRight w:val="0"/>
          <w:marTop w:val="0"/>
          <w:marBottom w:val="0"/>
          <w:divBdr>
            <w:top w:val="none" w:sz="0" w:space="0" w:color="auto"/>
            <w:left w:val="none" w:sz="0" w:space="0" w:color="auto"/>
            <w:bottom w:val="none" w:sz="0" w:space="0" w:color="auto"/>
            <w:right w:val="none" w:sz="0" w:space="0" w:color="auto"/>
          </w:divBdr>
        </w:div>
        <w:div w:id="178618016">
          <w:marLeft w:val="0"/>
          <w:marRight w:val="0"/>
          <w:marTop w:val="0"/>
          <w:marBottom w:val="0"/>
          <w:divBdr>
            <w:top w:val="none" w:sz="0" w:space="0" w:color="auto"/>
            <w:left w:val="none" w:sz="0" w:space="0" w:color="auto"/>
            <w:bottom w:val="none" w:sz="0" w:space="0" w:color="auto"/>
            <w:right w:val="none" w:sz="0" w:space="0" w:color="auto"/>
          </w:divBdr>
        </w:div>
      </w:divsChild>
    </w:div>
    <w:div w:id="1692562265">
      <w:bodyDiv w:val="1"/>
      <w:marLeft w:val="0"/>
      <w:marRight w:val="0"/>
      <w:marTop w:val="0"/>
      <w:marBottom w:val="0"/>
      <w:divBdr>
        <w:top w:val="none" w:sz="0" w:space="0" w:color="auto"/>
        <w:left w:val="none" w:sz="0" w:space="0" w:color="auto"/>
        <w:bottom w:val="none" w:sz="0" w:space="0" w:color="auto"/>
        <w:right w:val="none" w:sz="0" w:space="0" w:color="auto"/>
      </w:divBdr>
    </w:div>
    <w:div w:id="1704213857">
      <w:bodyDiv w:val="1"/>
      <w:marLeft w:val="0"/>
      <w:marRight w:val="0"/>
      <w:marTop w:val="0"/>
      <w:marBottom w:val="0"/>
      <w:divBdr>
        <w:top w:val="none" w:sz="0" w:space="0" w:color="auto"/>
        <w:left w:val="none" w:sz="0" w:space="0" w:color="auto"/>
        <w:bottom w:val="none" w:sz="0" w:space="0" w:color="auto"/>
        <w:right w:val="none" w:sz="0" w:space="0" w:color="auto"/>
      </w:divBdr>
    </w:div>
    <w:div w:id="1736514259">
      <w:bodyDiv w:val="1"/>
      <w:marLeft w:val="0"/>
      <w:marRight w:val="0"/>
      <w:marTop w:val="0"/>
      <w:marBottom w:val="0"/>
      <w:divBdr>
        <w:top w:val="none" w:sz="0" w:space="0" w:color="auto"/>
        <w:left w:val="none" w:sz="0" w:space="0" w:color="auto"/>
        <w:bottom w:val="none" w:sz="0" w:space="0" w:color="auto"/>
        <w:right w:val="none" w:sz="0" w:space="0" w:color="auto"/>
      </w:divBdr>
    </w:div>
    <w:div w:id="1749381934">
      <w:bodyDiv w:val="1"/>
      <w:marLeft w:val="0"/>
      <w:marRight w:val="0"/>
      <w:marTop w:val="0"/>
      <w:marBottom w:val="0"/>
      <w:divBdr>
        <w:top w:val="none" w:sz="0" w:space="0" w:color="auto"/>
        <w:left w:val="none" w:sz="0" w:space="0" w:color="auto"/>
        <w:bottom w:val="none" w:sz="0" w:space="0" w:color="auto"/>
        <w:right w:val="none" w:sz="0" w:space="0" w:color="auto"/>
      </w:divBdr>
    </w:div>
    <w:div w:id="1848905525">
      <w:bodyDiv w:val="1"/>
      <w:marLeft w:val="0"/>
      <w:marRight w:val="0"/>
      <w:marTop w:val="0"/>
      <w:marBottom w:val="0"/>
      <w:divBdr>
        <w:top w:val="none" w:sz="0" w:space="0" w:color="auto"/>
        <w:left w:val="none" w:sz="0" w:space="0" w:color="auto"/>
        <w:bottom w:val="none" w:sz="0" w:space="0" w:color="auto"/>
        <w:right w:val="none" w:sz="0" w:space="0" w:color="auto"/>
      </w:divBdr>
    </w:div>
    <w:div w:id="1902785765">
      <w:bodyDiv w:val="1"/>
      <w:marLeft w:val="0"/>
      <w:marRight w:val="0"/>
      <w:marTop w:val="0"/>
      <w:marBottom w:val="0"/>
      <w:divBdr>
        <w:top w:val="none" w:sz="0" w:space="0" w:color="auto"/>
        <w:left w:val="none" w:sz="0" w:space="0" w:color="auto"/>
        <w:bottom w:val="none" w:sz="0" w:space="0" w:color="auto"/>
        <w:right w:val="none" w:sz="0" w:space="0" w:color="auto"/>
      </w:divBdr>
    </w:div>
    <w:div w:id="1903367575">
      <w:bodyDiv w:val="1"/>
      <w:marLeft w:val="0"/>
      <w:marRight w:val="0"/>
      <w:marTop w:val="0"/>
      <w:marBottom w:val="0"/>
      <w:divBdr>
        <w:top w:val="none" w:sz="0" w:space="0" w:color="auto"/>
        <w:left w:val="none" w:sz="0" w:space="0" w:color="auto"/>
        <w:bottom w:val="none" w:sz="0" w:space="0" w:color="auto"/>
        <w:right w:val="none" w:sz="0" w:space="0" w:color="auto"/>
      </w:divBdr>
    </w:div>
    <w:div w:id="1935747860">
      <w:bodyDiv w:val="1"/>
      <w:marLeft w:val="0"/>
      <w:marRight w:val="0"/>
      <w:marTop w:val="0"/>
      <w:marBottom w:val="0"/>
      <w:divBdr>
        <w:top w:val="none" w:sz="0" w:space="0" w:color="auto"/>
        <w:left w:val="none" w:sz="0" w:space="0" w:color="auto"/>
        <w:bottom w:val="none" w:sz="0" w:space="0" w:color="auto"/>
        <w:right w:val="none" w:sz="0" w:space="0" w:color="auto"/>
      </w:divBdr>
    </w:div>
    <w:div w:id="1947275211">
      <w:bodyDiv w:val="1"/>
      <w:marLeft w:val="0"/>
      <w:marRight w:val="0"/>
      <w:marTop w:val="0"/>
      <w:marBottom w:val="0"/>
      <w:divBdr>
        <w:top w:val="none" w:sz="0" w:space="0" w:color="auto"/>
        <w:left w:val="none" w:sz="0" w:space="0" w:color="auto"/>
        <w:bottom w:val="none" w:sz="0" w:space="0" w:color="auto"/>
        <w:right w:val="none" w:sz="0" w:space="0" w:color="auto"/>
      </w:divBdr>
    </w:div>
    <w:div w:id="1990212200">
      <w:bodyDiv w:val="1"/>
      <w:marLeft w:val="0"/>
      <w:marRight w:val="0"/>
      <w:marTop w:val="0"/>
      <w:marBottom w:val="0"/>
      <w:divBdr>
        <w:top w:val="none" w:sz="0" w:space="0" w:color="auto"/>
        <w:left w:val="none" w:sz="0" w:space="0" w:color="auto"/>
        <w:bottom w:val="none" w:sz="0" w:space="0" w:color="auto"/>
        <w:right w:val="none" w:sz="0" w:space="0" w:color="auto"/>
      </w:divBdr>
    </w:div>
    <w:div w:id="2079015481">
      <w:bodyDiv w:val="1"/>
      <w:marLeft w:val="0"/>
      <w:marRight w:val="0"/>
      <w:marTop w:val="0"/>
      <w:marBottom w:val="0"/>
      <w:divBdr>
        <w:top w:val="none" w:sz="0" w:space="0" w:color="auto"/>
        <w:left w:val="none" w:sz="0" w:space="0" w:color="auto"/>
        <w:bottom w:val="none" w:sz="0" w:space="0" w:color="auto"/>
        <w:right w:val="none" w:sz="0" w:space="0" w:color="auto"/>
      </w:divBdr>
    </w:div>
    <w:div w:id="2089813280">
      <w:bodyDiv w:val="1"/>
      <w:marLeft w:val="0"/>
      <w:marRight w:val="0"/>
      <w:marTop w:val="0"/>
      <w:marBottom w:val="0"/>
      <w:divBdr>
        <w:top w:val="none" w:sz="0" w:space="0" w:color="auto"/>
        <w:left w:val="none" w:sz="0" w:space="0" w:color="auto"/>
        <w:bottom w:val="none" w:sz="0" w:space="0" w:color="auto"/>
        <w:right w:val="none" w:sz="0" w:space="0" w:color="auto"/>
      </w:divBdr>
    </w:div>
    <w:div w:id="2142576976">
      <w:bodyDiv w:val="1"/>
      <w:marLeft w:val="0"/>
      <w:marRight w:val="0"/>
      <w:marTop w:val="0"/>
      <w:marBottom w:val="0"/>
      <w:divBdr>
        <w:top w:val="none" w:sz="0" w:space="0" w:color="auto"/>
        <w:left w:val="none" w:sz="0" w:space="0" w:color="auto"/>
        <w:bottom w:val="none" w:sz="0" w:space="0" w:color="auto"/>
        <w:right w:val="none" w:sz="0" w:space="0" w:color="auto"/>
      </w:divBdr>
      <w:divsChild>
        <w:div w:id="1250582880">
          <w:marLeft w:val="0"/>
          <w:marRight w:val="0"/>
          <w:marTop w:val="0"/>
          <w:marBottom w:val="0"/>
          <w:divBdr>
            <w:top w:val="none" w:sz="0" w:space="0" w:color="auto"/>
            <w:left w:val="none" w:sz="0" w:space="0" w:color="auto"/>
            <w:bottom w:val="none" w:sz="0" w:space="0" w:color="auto"/>
            <w:right w:val="none" w:sz="0" w:space="0" w:color="auto"/>
          </w:divBdr>
          <w:divsChild>
            <w:div w:id="983630070">
              <w:marLeft w:val="0"/>
              <w:marRight w:val="0"/>
              <w:marTop w:val="0"/>
              <w:marBottom w:val="0"/>
              <w:divBdr>
                <w:top w:val="none" w:sz="0" w:space="0" w:color="auto"/>
                <w:left w:val="none" w:sz="0" w:space="0" w:color="auto"/>
                <w:bottom w:val="none" w:sz="0" w:space="0" w:color="auto"/>
                <w:right w:val="none" w:sz="0" w:space="0" w:color="auto"/>
              </w:divBdr>
            </w:div>
            <w:div w:id="1950351592">
              <w:marLeft w:val="0"/>
              <w:marRight w:val="0"/>
              <w:marTop w:val="0"/>
              <w:marBottom w:val="0"/>
              <w:divBdr>
                <w:top w:val="none" w:sz="0" w:space="0" w:color="auto"/>
                <w:left w:val="none" w:sz="0" w:space="0" w:color="auto"/>
                <w:bottom w:val="none" w:sz="0" w:space="0" w:color="auto"/>
                <w:right w:val="none" w:sz="0" w:space="0" w:color="auto"/>
              </w:divBdr>
            </w:div>
          </w:divsChild>
        </w:div>
        <w:div w:id="1246959482">
          <w:marLeft w:val="0"/>
          <w:marRight w:val="0"/>
          <w:marTop w:val="0"/>
          <w:marBottom w:val="0"/>
          <w:divBdr>
            <w:top w:val="none" w:sz="0" w:space="0" w:color="auto"/>
            <w:left w:val="none" w:sz="0" w:space="0" w:color="auto"/>
            <w:bottom w:val="none" w:sz="0" w:space="0" w:color="auto"/>
            <w:right w:val="none" w:sz="0" w:space="0" w:color="auto"/>
          </w:divBdr>
          <w:divsChild>
            <w:div w:id="1083719872">
              <w:marLeft w:val="0"/>
              <w:marRight w:val="0"/>
              <w:marTop w:val="0"/>
              <w:marBottom w:val="0"/>
              <w:divBdr>
                <w:top w:val="none" w:sz="0" w:space="0" w:color="auto"/>
                <w:left w:val="none" w:sz="0" w:space="0" w:color="auto"/>
                <w:bottom w:val="none" w:sz="0" w:space="0" w:color="auto"/>
                <w:right w:val="none" w:sz="0" w:space="0" w:color="auto"/>
              </w:divBdr>
            </w:div>
            <w:div w:id="516389421">
              <w:marLeft w:val="0"/>
              <w:marRight w:val="0"/>
              <w:marTop w:val="0"/>
              <w:marBottom w:val="0"/>
              <w:divBdr>
                <w:top w:val="none" w:sz="0" w:space="0" w:color="auto"/>
                <w:left w:val="none" w:sz="0" w:space="0" w:color="auto"/>
                <w:bottom w:val="none" w:sz="0" w:space="0" w:color="auto"/>
                <w:right w:val="none" w:sz="0" w:space="0" w:color="auto"/>
              </w:divBdr>
            </w:div>
          </w:divsChild>
        </w:div>
        <w:div w:id="15619692">
          <w:marLeft w:val="0"/>
          <w:marRight w:val="0"/>
          <w:marTop w:val="0"/>
          <w:marBottom w:val="0"/>
          <w:divBdr>
            <w:top w:val="none" w:sz="0" w:space="0" w:color="auto"/>
            <w:left w:val="none" w:sz="0" w:space="0" w:color="auto"/>
            <w:bottom w:val="none" w:sz="0" w:space="0" w:color="auto"/>
            <w:right w:val="none" w:sz="0" w:space="0" w:color="auto"/>
          </w:divBdr>
          <w:divsChild>
            <w:div w:id="809326238">
              <w:marLeft w:val="0"/>
              <w:marRight w:val="0"/>
              <w:marTop w:val="0"/>
              <w:marBottom w:val="0"/>
              <w:divBdr>
                <w:top w:val="none" w:sz="0" w:space="0" w:color="auto"/>
                <w:left w:val="none" w:sz="0" w:space="0" w:color="auto"/>
                <w:bottom w:val="none" w:sz="0" w:space="0" w:color="auto"/>
                <w:right w:val="none" w:sz="0" w:space="0" w:color="auto"/>
              </w:divBdr>
            </w:div>
            <w:div w:id="504594111">
              <w:marLeft w:val="0"/>
              <w:marRight w:val="0"/>
              <w:marTop w:val="0"/>
              <w:marBottom w:val="0"/>
              <w:divBdr>
                <w:top w:val="none" w:sz="0" w:space="0" w:color="auto"/>
                <w:left w:val="none" w:sz="0" w:space="0" w:color="auto"/>
                <w:bottom w:val="none" w:sz="0" w:space="0" w:color="auto"/>
                <w:right w:val="none" w:sz="0" w:space="0" w:color="auto"/>
              </w:divBdr>
            </w:div>
          </w:divsChild>
        </w:div>
        <w:div w:id="140462623">
          <w:marLeft w:val="0"/>
          <w:marRight w:val="0"/>
          <w:marTop w:val="0"/>
          <w:marBottom w:val="0"/>
          <w:divBdr>
            <w:top w:val="none" w:sz="0" w:space="0" w:color="auto"/>
            <w:left w:val="none" w:sz="0" w:space="0" w:color="auto"/>
            <w:bottom w:val="none" w:sz="0" w:space="0" w:color="auto"/>
            <w:right w:val="none" w:sz="0" w:space="0" w:color="auto"/>
          </w:divBdr>
        </w:div>
        <w:div w:id="791707114">
          <w:marLeft w:val="0"/>
          <w:marRight w:val="0"/>
          <w:marTop w:val="0"/>
          <w:marBottom w:val="0"/>
          <w:divBdr>
            <w:top w:val="none" w:sz="0" w:space="0" w:color="auto"/>
            <w:left w:val="none" w:sz="0" w:space="0" w:color="auto"/>
            <w:bottom w:val="none" w:sz="0" w:space="0" w:color="auto"/>
            <w:right w:val="none" w:sz="0" w:space="0" w:color="auto"/>
          </w:divBdr>
        </w:div>
        <w:div w:id="423720538">
          <w:marLeft w:val="0"/>
          <w:marRight w:val="0"/>
          <w:marTop w:val="0"/>
          <w:marBottom w:val="0"/>
          <w:divBdr>
            <w:top w:val="none" w:sz="0" w:space="0" w:color="auto"/>
            <w:left w:val="none" w:sz="0" w:space="0" w:color="auto"/>
            <w:bottom w:val="none" w:sz="0" w:space="0" w:color="auto"/>
            <w:right w:val="none" w:sz="0" w:space="0" w:color="auto"/>
          </w:divBdr>
          <w:divsChild>
            <w:div w:id="15278336">
              <w:marLeft w:val="0"/>
              <w:marRight w:val="0"/>
              <w:marTop w:val="0"/>
              <w:marBottom w:val="0"/>
              <w:divBdr>
                <w:top w:val="none" w:sz="0" w:space="0" w:color="auto"/>
                <w:left w:val="none" w:sz="0" w:space="0" w:color="auto"/>
                <w:bottom w:val="none" w:sz="0" w:space="0" w:color="auto"/>
                <w:right w:val="none" w:sz="0" w:space="0" w:color="auto"/>
              </w:divBdr>
              <w:divsChild>
                <w:div w:id="748038796">
                  <w:marLeft w:val="0"/>
                  <w:marRight w:val="0"/>
                  <w:marTop w:val="0"/>
                  <w:marBottom w:val="0"/>
                  <w:divBdr>
                    <w:top w:val="none" w:sz="0" w:space="0" w:color="auto"/>
                    <w:left w:val="none" w:sz="0" w:space="0" w:color="auto"/>
                    <w:bottom w:val="none" w:sz="0" w:space="0" w:color="auto"/>
                    <w:right w:val="none" w:sz="0" w:space="0" w:color="auto"/>
                  </w:divBdr>
                </w:div>
                <w:div w:id="1358003105">
                  <w:marLeft w:val="0"/>
                  <w:marRight w:val="0"/>
                  <w:marTop w:val="0"/>
                  <w:marBottom w:val="0"/>
                  <w:divBdr>
                    <w:top w:val="none" w:sz="0" w:space="0" w:color="auto"/>
                    <w:left w:val="none" w:sz="0" w:space="0" w:color="auto"/>
                    <w:bottom w:val="none" w:sz="0" w:space="0" w:color="auto"/>
                    <w:right w:val="none" w:sz="0" w:space="0" w:color="auto"/>
                  </w:divBdr>
                </w:div>
                <w:div w:id="3750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6573">
          <w:marLeft w:val="0"/>
          <w:marRight w:val="0"/>
          <w:marTop w:val="0"/>
          <w:marBottom w:val="0"/>
          <w:divBdr>
            <w:top w:val="none" w:sz="0" w:space="0" w:color="auto"/>
            <w:left w:val="none" w:sz="0" w:space="0" w:color="auto"/>
            <w:bottom w:val="none" w:sz="0" w:space="0" w:color="auto"/>
            <w:right w:val="none" w:sz="0" w:space="0" w:color="auto"/>
          </w:divBdr>
          <w:divsChild>
            <w:div w:id="2050570412">
              <w:marLeft w:val="0"/>
              <w:marRight w:val="0"/>
              <w:marTop w:val="0"/>
              <w:marBottom w:val="0"/>
              <w:divBdr>
                <w:top w:val="none" w:sz="0" w:space="0" w:color="auto"/>
                <w:left w:val="none" w:sz="0" w:space="0" w:color="auto"/>
                <w:bottom w:val="none" w:sz="0" w:space="0" w:color="auto"/>
                <w:right w:val="none" w:sz="0" w:space="0" w:color="auto"/>
              </w:divBdr>
              <w:divsChild>
                <w:div w:id="2078623678">
                  <w:marLeft w:val="0"/>
                  <w:marRight w:val="0"/>
                  <w:marTop w:val="0"/>
                  <w:marBottom w:val="0"/>
                  <w:divBdr>
                    <w:top w:val="none" w:sz="0" w:space="0" w:color="auto"/>
                    <w:left w:val="none" w:sz="0" w:space="0" w:color="auto"/>
                    <w:bottom w:val="none" w:sz="0" w:space="0" w:color="auto"/>
                    <w:right w:val="none" w:sz="0" w:space="0" w:color="auto"/>
                  </w:divBdr>
                </w:div>
                <w:div w:id="1728264964">
                  <w:marLeft w:val="0"/>
                  <w:marRight w:val="0"/>
                  <w:marTop w:val="0"/>
                  <w:marBottom w:val="0"/>
                  <w:divBdr>
                    <w:top w:val="none" w:sz="0" w:space="0" w:color="auto"/>
                    <w:left w:val="none" w:sz="0" w:space="0" w:color="auto"/>
                    <w:bottom w:val="none" w:sz="0" w:space="0" w:color="auto"/>
                    <w:right w:val="none" w:sz="0" w:space="0" w:color="auto"/>
                  </w:divBdr>
                </w:div>
                <w:div w:id="54841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14258</Words>
  <Characters>81275</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95343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Odiachi, Jingi</dc:creator>
  <cp:keywords/>
  <dc:description/>
  <cp:lastModifiedBy>pati-svc</cp:lastModifiedBy>
  <cp:revision>2</cp:revision>
  <cp:lastPrinted>2018-10-19T12:49:00Z</cp:lastPrinted>
  <dcterms:created xsi:type="dcterms:W3CDTF">2018-10-19T13:41:00Z</dcterms:created>
  <dcterms:modified xsi:type="dcterms:W3CDTF">2018-10-19T13:41:00Z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Judge">
    <vt:lpwstr>LADY JUSTICE RAFFERTY</vt:lpwstr>
  </property>
  <property fmtid="{D5CDD505-2E9C-101B-9397-08002B2CF9AE}" pid="9" name="NCCaseNum">
    <vt:lpwstr>A2/2017/2282</vt:lpwstr>
  </property>
  <property fmtid="{D5CDD505-2E9C-101B-9397-08002B2CF9AE}" pid="10" name="NCCaseTitle">
    <vt:lpwstr>IP v Osipov</vt:lpwstr>
  </property>
  <property fmtid="{D5CDD505-2E9C-101B-9397-08002B2CF9AE}" pid="11" name="NCNumber">
    <vt:lpwstr>[2018] EWCA Civ 2321</vt:lpwstr>
  </property>
  <property fmtid="{D5CDD505-2E9C-101B-9397-08002B2CF9AE}" pid="12" name="NCJudgeDate">
    <vt:lpwstr>19/10/2018</vt:lpwstr>
  </property>
</Properties>
</file>